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jpeg" ContentType="image/jpeg"/>
  <Default Extension="JPG" ContentType="image/.jpg"/>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center" w:pos="4536"/>
          <w:tab w:val="right" w:pos="9639"/>
        </w:tabs>
        <w:spacing w:before="120" w:after="120"/>
        <w:ind w:right="2"/>
        <w:rPr>
          <w:b/>
          <w:bCs/>
          <w:sz w:val="22"/>
          <w:szCs w:val="22"/>
        </w:rPr>
      </w:pPr>
      <w:r>
        <w:rPr>
          <w:b/>
          <w:bCs/>
          <w:sz w:val="22"/>
          <w:szCs w:val="22"/>
          <w:lang w:eastAsia="ja-JP"/>
        </w:rPr>
        <w:t>3GPP TSG RAN WG1 meeting #11</w:t>
      </w:r>
      <w:r>
        <w:rPr>
          <w:b/>
          <w:bCs/>
          <w:sz w:val="22"/>
          <w:szCs w:val="22"/>
        </w:rPr>
        <w:t>2</w:t>
      </w:r>
      <w:r>
        <w:rPr>
          <w:rFonts w:hint="eastAsia"/>
          <w:b/>
          <w:bCs/>
          <w:sz w:val="22"/>
          <w:szCs w:val="22"/>
        </w:rPr>
        <w:t>bis</w:t>
      </w:r>
      <w:r>
        <w:rPr>
          <w:b/>
          <w:bCs/>
          <w:sz w:val="22"/>
          <w:szCs w:val="22"/>
          <w:lang w:eastAsia="ja-JP"/>
        </w:rPr>
        <w:tab/>
      </w:r>
      <w:r>
        <w:rPr>
          <w:b/>
          <w:bCs/>
          <w:sz w:val="22"/>
          <w:szCs w:val="22"/>
          <w:lang w:eastAsia="ja-JP"/>
        </w:rPr>
        <w:tab/>
      </w:r>
      <w:r>
        <w:rPr>
          <w:b/>
          <w:bCs/>
          <w:sz w:val="22"/>
          <w:szCs w:val="22"/>
          <w:lang w:eastAsia="ja-JP"/>
        </w:rPr>
        <w:t xml:space="preserve">                                   </w:t>
      </w:r>
      <w:r>
        <w:rPr>
          <w:rFonts w:hint="eastAsia"/>
          <w:b/>
          <w:bCs/>
          <w:sz w:val="22"/>
          <w:szCs w:val="22"/>
          <w:lang w:eastAsia="ja-JP"/>
        </w:rPr>
        <w:t>R1-2302944</w:t>
      </w:r>
    </w:p>
    <w:p>
      <w:pPr>
        <w:spacing w:before="120" w:after="120"/>
        <w:rPr>
          <w:szCs w:val="21"/>
        </w:rPr>
      </w:pPr>
      <w:r>
        <w:rPr>
          <w:rFonts w:hint="eastAsia"/>
          <w:b/>
          <w:bCs/>
          <w:sz w:val="24"/>
          <w:szCs w:val="24"/>
        </w:rPr>
        <w:t>E-meeting</w:t>
      </w:r>
      <w:r>
        <w:rPr>
          <w:b/>
          <w:bCs/>
          <w:sz w:val="24"/>
          <w:szCs w:val="24"/>
          <w:lang w:eastAsia="ja-JP"/>
        </w:rPr>
        <w:t>,</w:t>
      </w:r>
      <w:r>
        <w:rPr>
          <w:b/>
          <w:bCs/>
          <w:sz w:val="22"/>
          <w:szCs w:val="22"/>
          <w:lang w:eastAsia="ja-JP"/>
        </w:rPr>
        <w:t xml:space="preserve"> </w:t>
      </w:r>
      <w:r>
        <w:rPr>
          <w:rFonts w:hint="eastAsia"/>
          <w:b/>
          <w:bCs/>
          <w:sz w:val="24"/>
          <w:szCs w:val="24"/>
        </w:rPr>
        <w:t>Apr</w:t>
      </w:r>
      <w:r>
        <w:rPr>
          <w:b/>
          <w:bCs/>
          <w:sz w:val="24"/>
          <w:szCs w:val="24"/>
        </w:rPr>
        <w:t>.</w:t>
      </w:r>
      <w:r>
        <w:rPr>
          <w:rFonts w:eastAsia="MS Mincho"/>
          <w:b/>
          <w:bCs/>
          <w:sz w:val="24"/>
          <w:szCs w:val="24"/>
        </w:rPr>
        <w:t xml:space="preserve"> </w:t>
      </w:r>
      <w:r>
        <w:rPr>
          <w:rFonts w:hint="eastAsia"/>
          <w:b/>
          <w:bCs/>
          <w:sz w:val="24"/>
          <w:szCs w:val="24"/>
        </w:rPr>
        <w:t>1</w:t>
      </w:r>
      <w:r>
        <w:rPr>
          <w:b/>
          <w:bCs/>
          <w:sz w:val="24"/>
          <w:szCs w:val="24"/>
        </w:rPr>
        <w:t>7</w:t>
      </w:r>
      <w:r>
        <w:rPr>
          <w:rFonts w:eastAsia="MS Mincho"/>
          <w:b/>
          <w:bCs/>
          <w:sz w:val="24"/>
          <w:szCs w:val="24"/>
          <w:vertAlign w:val="superscript"/>
        </w:rPr>
        <w:t>th</w:t>
      </w:r>
      <w:r>
        <w:rPr>
          <w:rFonts w:eastAsia="MS Mincho"/>
          <w:b/>
          <w:bCs/>
          <w:sz w:val="24"/>
          <w:szCs w:val="24"/>
        </w:rPr>
        <w:t xml:space="preserve"> – </w:t>
      </w:r>
      <w:r>
        <w:rPr>
          <w:rFonts w:hint="eastAsia"/>
          <w:b/>
          <w:bCs/>
          <w:sz w:val="24"/>
          <w:szCs w:val="24"/>
        </w:rPr>
        <w:t>Apr</w:t>
      </w:r>
      <w:r>
        <w:rPr>
          <w:b/>
          <w:bCs/>
          <w:sz w:val="24"/>
          <w:szCs w:val="24"/>
        </w:rPr>
        <w:t xml:space="preserve">. </w:t>
      </w:r>
      <w:r>
        <w:rPr>
          <w:rFonts w:hint="eastAsia"/>
          <w:b/>
          <w:bCs/>
          <w:sz w:val="24"/>
          <w:szCs w:val="24"/>
        </w:rPr>
        <w:t>26</w:t>
      </w:r>
      <w:r>
        <w:rPr>
          <w:rFonts w:hint="eastAsia"/>
          <w:b/>
          <w:bCs/>
          <w:sz w:val="24"/>
          <w:szCs w:val="24"/>
          <w:vertAlign w:val="superscript"/>
        </w:rPr>
        <w:t>th</w:t>
      </w:r>
      <w:r>
        <w:rPr>
          <w:b/>
          <w:bCs/>
          <w:sz w:val="22"/>
          <w:szCs w:val="22"/>
          <w:lang w:eastAsia="ja-JP"/>
        </w:rPr>
        <w:t>, 202</w:t>
      </w:r>
      <w:r>
        <w:rPr>
          <w:b/>
          <w:bCs/>
          <w:sz w:val="22"/>
          <w:szCs w:val="22"/>
        </w:rPr>
        <w:t>3</w:t>
      </w:r>
    </w:p>
    <w:p>
      <w:pPr>
        <w:tabs>
          <w:tab w:val="left" w:pos="1985"/>
        </w:tabs>
        <w:spacing w:before="240" w:beforeLines="100" w:after="120"/>
        <w:ind w:left="1987" w:hanging="1987"/>
        <w:rPr>
          <w:b/>
          <w:sz w:val="22"/>
          <w:szCs w:val="22"/>
        </w:rPr>
      </w:pPr>
      <w:r>
        <w:rPr>
          <w:b/>
          <w:sz w:val="22"/>
          <w:szCs w:val="22"/>
        </w:rPr>
        <w:t xml:space="preserve">Title: </w:t>
      </w:r>
      <w:r>
        <w:rPr>
          <w:b/>
          <w:sz w:val="22"/>
          <w:szCs w:val="22"/>
        </w:rPr>
        <w:tab/>
      </w:r>
      <w:r>
        <w:rPr>
          <w:b/>
          <w:sz w:val="22"/>
          <w:szCs w:val="22"/>
        </w:rPr>
        <w:t>Discussion on NES techniques in spatial and power domains</w:t>
      </w:r>
    </w:p>
    <w:p>
      <w:pPr>
        <w:tabs>
          <w:tab w:val="left" w:pos="1985"/>
        </w:tabs>
        <w:spacing w:before="120" w:after="120"/>
        <w:ind w:left="1980" w:hanging="1980"/>
        <w:rPr>
          <w:b/>
          <w:sz w:val="22"/>
          <w:szCs w:val="22"/>
        </w:rPr>
      </w:pPr>
      <w:r>
        <w:rPr>
          <w:b/>
          <w:sz w:val="22"/>
          <w:szCs w:val="22"/>
        </w:rPr>
        <w:t xml:space="preserve">Source: </w:t>
      </w:r>
      <w:r>
        <w:rPr>
          <w:b/>
          <w:sz w:val="22"/>
          <w:szCs w:val="22"/>
        </w:rPr>
        <w:tab/>
      </w:r>
      <w:r>
        <w:rPr>
          <w:b/>
          <w:sz w:val="22"/>
          <w:szCs w:val="22"/>
        </w:rPr>
        <w:t>ZTE, Sanechips</w:t>
      </w:r>
    </w:p>
    <w:p>
      <w:pPr>
        <w:tabs>
          <w:tab w:val="left" w:pos="1985"/>
        </w:tabs>
        <w:spacing w:before="120" w:after="120"/>
        <w:rPr>
          <w:b/>
          <w:sz w:val="20"/>
          <w:szCs w:val="22"/>
        </w:rPr>
      </w:pPr>
      <w:r>
        <w:rPr>
          <w:b/>
          <w:sz w:val="22"/>
          <w:szCs w:val="22"/>
          <w:lang w:val="pt-BR"/>
        </w:rPr>
        <w:t>Agenda item:</w:t>
      </w:r>
      <w:r>
        <w:rPr>
          <w:b/>
          <w:sz w:val="22"/>
          <w:szCs w:val="22"/>
          <w:lang w:val="pt-BR"/>
        </w:rPr>
        <w:tab/>
      </w:r>
      <w:r>
        <w:rPr>
          <w:b/>
          <w:sz w:val="22"/>
          <w:szCs w:val="22"/>
        </w:rPr>
        <w:t>9.7.1</w:t>
      </w:r>
    </w:p>
    <w:p>
      <w:pPr>
        <w:pStyle w:val="12"/>
        <w:widowControl w:val="0"/>
        <w:pBdr>
          <w:bottom w:val="none" w:color="auto" w:sz="0" w:space="0"/>
        </w:pBdr>
        <w:tabs>
          <w:tab w:val="left" w:pos="1906"/>
          <w:tab w:val="clear" w:pos="4153"/>
          <w:tab w:val="clear" w:pos="8306"/>
        </w:tabs>
        <w:snapToGrid/>
        <w:spacing w:before="120" w:after="120" w:line="260" w:lineRule="auto"/>
        <w:jc w:val="both"/>
        <w:rPr>
          <w:b/>
          <w:sz w:val="22"/>
          <w:szCs w:val="22"/>
          <w:lang w:val="pt-BR"/>
        </w:rPr>
      </w:pPr>
      <w:r>
        <w:rPr>
          <w:b/>
          <w:sz w:val="22"/>
          <w:szCs w:val="22"/>
          <w:lang w:val="pt-BR"/>
        </w:rPr>
        <w:t>Document for:</w:t>
      </w:r>
      <w:r>
        <w:rPr>
          <w:b/>
          <w:sz w:val="22"/>
          <w:szCs w:val="22"/>
          <w:lang w:val="pt-BR"/>
        </w:rPr>
        <w:tab/>
      </w:r>
      <w:r>
        <w:rPr>
          <w:b/>
          <w:sz w:val="22"/>
          <w:szCs w:val="22"/>
        </w:rPr>
        <w:t>Discussion and decision</w:t>
      </w:r>
    </w:p>
    <w:p>
      <w:pPr>
        <w:pStyle w:val="2"/>
        <w:numPr>
          <w:ilvl w:val="0"/>
          <w:numId w:val="9"/>
        </w:numPr>
        <w:spacing w:before="120" w:after="120"/>
        <w:rPr>
          <w:rFonts w:ascii="Times New Roman" w:hAnsi="Times New Roman" w:eastAsia="宋体"/>
          <w:b/>
          <w:bCs/>
          <w:sz w:val="28"/>
          <w:szCs w:val="28"/>
        </w:rPr>
      </w:pPr>
      <w:bookmarkStart w:id="0" w:name="_Ref27419"/>
      <w:r>
        <w:rPr>
          <w:rFonts w:ascii="Times New Roman" w:hAnsi="Times New Roman" w:eastAsia="宋体"/>
          <w:b/>
          <w:bCs/>
          <w:sz w:val="28"/>
          <w:szCs w:val="28"/>
        </w:rPr>
        <w:t>Introduction</w:t>
      </w:r>
      <w:bookmarkEnd w:id="0"/>
    </w:p>
    <w:p>
      <w:pPr>
        <w:spacing w:before="120" w:after="120"/>
      </w:pPr>
      <w:r>
        <w:t>In RAN</w:t>
      </w:r>
      <w:r>
        <w:rPr>
          <w:rFonts w:hint="eastAsia"/>
        </w:rPr>
        <w:t>1</w:t>
      </w:r>
      <w:r>
        <w:t>#</w:t>
      </w:r>
      <w:r>
        <w:rPr>
          <w:rFonts w:hint="eastAsia"/>
        </w:rPr>
        <w:t>112</w:t>
      </w:r>
      <w:r>
        <w:t xml:space="preserve"> meeting, </w:t>
      </w:r>
      <w:r>
        <w:rPr>
          <w:rFonts w:hint="eastAsia"/>
        </w:rPr>
        <w:t>some agreements</w:t>
      </w:r>
      <w:r>
        <w:rPr>
          <w:bCs/>
        </w:rPr>
        <w:t xml:space="preserve"> </w:t>
      </w:r>
      <w:r>
        <w:rPr>
          <w:rFonts w:hint="eastAsia"/>
          <w:bCs/>
        </w:rPr>
        <w:t>about</w:t>
      </w:r>
      <w:r>
        <w:rPr>
          <w:bCs/>
        </w:rPr>
        <w:t xml:space="preserve"> network energy saving in spatial and power domain </w:t>
      </w:r>
      <w:r>
        <w:rPr>
          <w:lang w:bidi="ar"/>
        </w:rPr>
        <w:t>w</w:t>
      </w:r>
      <w:r>
        <w:rPr>
          <w:rFonts w:hint="eastAsia"/>
          <w:lang w:bidi="ar"/>
        </w:rPr>
        <w:t>ere</w:t>
      </w:r>
      <w:r>
        <w:rPr>
          <w:lang w:bidi="ar"/>
        </w:rPr>
        <w:t xml:space="preserve"> </w:t>
      </w:r>
      <w:r>
        <w:rPr>
          <w:rFonts w:hint="eastAsia"/>
          <w:lang w:bidi="ar"/>
        </w:rPr>
        <w:t>achieve</w:t>
      </w:r>
      <w:r>
        <w:rPr>
          <w:lang w:bidi="ar"/>
        </w:rPr>
        <w:t>d</w:t>
      </w:r>
      <w:r>
        <w:rPr>
          <w:bCs/>
        </w:rPr>
        <w:t xml:space="preserve"> as below [1]:</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spacing w:before="0" w:beforeLines="0" w:after="0" w:afterLines="0" w:line="288" w:lineRule="auto"/>
              <w:rPr>
                <w:b/>
                <w:bCs/>
                <w:szCs w:val="21"/>
                <w:highlight w:val="green"/>
              </w:rPr>
            </w:pPr>
            <w:r>
              <w:rPr>
                <w:b/>
                <w:bCs/>
                <w:szCs w:val="21"/>
                <w:highlight w:val="green"/>
              </w:rPr>
              <w:t>Agreement</w:t>
            </w:r>
          </w:p>
          <w:p>
            <w:pPr>
              <w:spacing w:before="0" w:beforeLines="0" w:after="0" w:afterLines="0" w:line="288" w:lineRule="auto"/>
              <w:rPr>
                <w:szCs w:val="21"/>
              </w:rPr>
            </w:pPr>
            <w:r>
              <w:rPr>
                <w:szCs w:val="21"/>
              </w:rPr>
              <w:t>For the purpose of further discussions in RAN1 on NES spatial domain adaptations, consider the following cases</w:t>
            </w:r>
          </w:p>
          <w:p>
            <w:pPr>
              <w:numPr>
                <w:ilvl w:val="0"/>
                <w:numId w:val="10"/>
              </w:numPr>
              <w:spacing w:before="0" w:beforeLines="0" w:after="0" w:afterLines="0" w:line="288" w:lineRule="auto"/>
              <w:rPr>
                <w:szCs w:val="21"/>
              </w:rPr>
            </w:pPr>
            <w:r>
              <w:rPr>
                <w:szCs w:val="21"/>
              </w:rPr>
              <w:t>Type 1: all antenna elements associated to a logical antenna port is disabled/enabled</w:t>
            </w:r>
          </w:p>
          <w:p>
            <w:pPr>
              <w:numPr>
                <w:ilvl w:val="0"/>
                <w:numId w:val="10"/>
              </w:numPr>
              <w:spacing w:before="0" w:beforeLines="0" w:after="0" w:afterLines="0" w:line="288" w:lineRule="auto"/>
              <w:rPr>
                <w:bCs/>
                <w:szCs w:val="21"/>
              </w:rPr>
            </w:pPr>
            <w:r>
              <w:rPr>
                <w:szCs w:val="21"/>
              </w:rPr>
              <w:t>Type 2: part/subset of antenna elements associated to a logical antenna port is disabled/enabled</w:t>
            </w:r>
          </w:p>
          <w:p>
            <w:pPr>
              <w:pStyle w:val="37"/>
              <w:suppressAutoHyphens/>
              <w:spacing w:before="0" w:afterLines="0" w:line="288" w:lineRule="auto"/>
              <w:ind w:left="0"/>
              <w:rPr>
                <w:b/>
                <w:sz w:val="21"/>
                <w:szCs w:val="21"/>
                <w:highlight w:val="green"/>
              </w:rPr>
            </w:pPr>
          </w:p>
          <w:p>
            <w:pPr>
              <w:spacing w:before="0" w:beforeLines="0" w:after="0" w:afterLines="0" w:line="288" w:lineRule="auto"/>
              <w:rPr>
                <w:szCs w:val="21"/>
              </w:rPr>
            </w:pPr>
          </w:p>
          <w:p>
            <w:pPr>
              <w:spacing w:before="0" w:beforeLines="0" w:after="0" w:afterLines="0" w:line="288" w:lineRule="auto"/>
              <w:rPr>
                <w:b/>
                <w:bCs/>
                <w:szCs w:val="21"/>
                <w:highlight w:val="green"/>
              </w:rPr>
            </w:pPr>
            <w:r>
              <w:rPr>
                <w:b/>
                <w:bCs/>
                <w:szCs w:val="21"/>
                <w:highlight w:val="green"/>
              </w:rPr>
              <w:t>Agreement</w:t>
            </w:r>
          </w:p>
          <w:p>
            <w:pPr>
              <w:spacing w:before="0" w:beforeLines="0" w:after="0" w:afterLines="0" w:line="288" w:lineRule="auto"/>
              <w:rPr>
                <w:szCs w:val="21"/>
              </w:rPr>
            </w:pPr>
            <w:r>
              <w:rPr>
                <w:szCs w:val="21"/>
              </w:rPr>
              <w:t xml:space="preserve">For spatial domain adaptation, further study necessary enhancements for multiple CSI(s) where each CSI corresponds to a spatial adaptation pattern, e.g. </w:t>
            </w:r>
          </w:p>
          <w:p>
            <w:pPr>
              <w:pStyle w:val="37"/>
              <w:numPr>
                <w:ilvl w:val="1"/>
                <w:numId w:val="11"/>
              </w:numPr>
              <w:suppressAutoHyphens/>
              <w:spacing w:before="0" w:afterLines="0" w:line="288" w:lineRule="auto"/>
              <w:rPr>
                <w:sz w:val="21"/>
                <w:szCs w:val="21"/>
              </w:rPr>
            </w:pPr>
            <w:r>
              <w:rPr>
                <w:sz w:val="21"/>
                <w:szCs w:val="21"/>
              </w:rPr>
              <w:t xml:space="preserve">FFS: gNB indicates to UE which CSI(s) the UE shall report </w:t>
            </w:r>
          </w:p>
          <w:p>
            <w:pPr>
              <w:pStyle w:val="37"/>
              <w:numPr>
                <w:ilvl w:val="1"/>
                <w:numId w:val="11"/>
              </w:numPr>
              <w:suppressAutoHyphens/>
              <w:spacing w:before="0" w:afterLines="0" w:line="288" w:lineRule="auto"/>
              <w:rPr>
                <w:sz w:val="21"/>
                <w:szCs w:val="21"/>
              </w:rPr>
            </w:pPr>
            <w:r>
              <w:rPr>
                <w:sz w:val="21"/>
                <w:szCs w:val="21"/>
              </w:rPr>
              <w:t>FFS: the UE selects which CSI(s) are reported</w:t>
            </w:r>
          </w:p>
          <w:p>
            <w:pPr>
              <w:pStyle w:val="37"/>
              <w:numPr>
                <w:ilvl w:val="1"/>
                <w:numId w:val="11"/>
              </w:numPr>
              <w:suppressAutoHyphens/>
              <w:spacing w:before="0" w:afterLines="0" w:line="288" w:lineRule="auto"/>
              <w:rPr>
                <w:sz w:val="21"/>
                <w:szCs w:val="21"/>
              </w:rPr>
            </w:pPr>
            <w:r>
              <w:rPr>
                <w:sz w:val="21"/>
                <w:szCs w:val="21"/>
              </w:rPr>
              <w:t xml:space="preserve">FFS: multiple CSI(s) are reported in a joint CSI report </w:t>
            </w:r>
          </w:p>
          <w:p>
            <w:pPr>
              <w:pStyle w:val="37"/>
              <w:numPr>
                <w:ilvl w:val="1"/>
                <w:numId w:val="11"/>
              </w:numPr>
              <w:suppressAutoHyphens/>
              <w:spacing w:before="0" w:afterLines="0" w:line="288" w:lineRule="auto"/>
              <w:rPr>
                <w:sz w:val="21"/>
                <w:szCs w:val="21"/>
              </w:rPr>
            </w:pPr>
            <w:r>
              <w:rPr>
                <w:sz w:val="21"/>
                <w:szCs w:val="21"/>
              </w:rPr>
              <w:t>FFS: Overhead reduction for multiple CSI(s)</w:t>
            </w:r>
          </w:p>
          <w:p>
            <w:pPr>
              <w:spacing w:before="0" w:beforeLines="0" w:after="0" w:afterLines="0" w:line="288" w:lineRule="auto"/>
              <w:rPr>
                <w:szCs w:val="21"/>
              </w:rPr>
            </w:pPr>
            <w:r>
              <w:rPr>
                <w:szCs w:val="21"/>
              </w:rPr>
              <w:t>Note: UE complexity needs to be taken into account.</w:t>
            </w:r>
          </w:p>
          <w:p>
            <w:pPr>
              <w:spacing w:before="0" w:beforeLines="0" w:after="0" w:afterLines="0" w:line="288" w:lineRule="auto"/>
              <w:rPr>
                <w:szCs w:val="21"/>
              </w:rPr>
            </w:pPr>
          </w:p>
          <w:p>
            <w:pPr>
              <w:spacing w:before="0" w:beforeLines="0" w:after="0" w:afterLines="0" w:line="288" w:lineRule="auto"/>
              <w:rPr>
                <w:b/>
                <w:bCs/>
                <w:szCs w:val="21"/>
                <w:highlight w:val="green"/>
              </w:rPr>
            </w:pPr>
            <w:r>
              <w:rPr>
                <w:b/>
                <w:bCs/>
                <w:szCs w:val="21"/>
                <w:highlight w:val="green"/>
              </w:rPr>
              <w:t>Agreement</w:t>
            </w:r>
          </w:p>
          <w:p>
            <w:pPr>
              <w:spacing w:before="0" w:beforeLines="0" w:after="0" w:afterLines="0" w:line="288" w:lineRule="auto"/>
              <w:rPr>
                <w:szCs w:val="21"/>
              </w:rPr>
            </w:pPr>
            <w:r>
              <w:rPr>
                <w:szCs w:val="21"/>
              </w:rPr>
              <w:t xml:space="preserve">For adaptation of power offset values between PDSCH and CSI-RS, </w:t>
            </w:r>
            <w:r>
              <w:rPr>
                <w:rFonts w:hint="eastAsia" w:eastAsia="等线"/>
                <w:szCs w:val="21"/>
              </w:rPr>
              <w:t>f</w:t>
            </w:r>
            <w:r>
              <w:rPr>
                <w:szCs w:val="21"/>
              </w:rPr>
              <w:t>urther study the following</w:t>
            </w:r>
          </w:p>
          <w:p>
            <w:pPr>
              <w:pStyle w:val="37"/>
              <w:numPr>
                <w:ilvl w:val="1"/>
                <w:numId w:val="11"/>
              </w:numPr>
              <w:suppressAutoHyphens/>
              <w:spacing w:before="0" w:afterLines="0" w:line="288" w:lineRule="auto"/>
              <w:rPr>
                <w:sz w:val="21"/>
                <w:szCs w:val="21"/>
              </w:rPr>
            </w:pPr>
            <w:r>
              <w:rPr>
                <w:sz w:val="21"/>
                <w:szCs w:val="21"/>
              </w:rPr>
              <w:t>Where/how to configure multiple power offset values</w:t>
            </w:r>
          </w:p>
          <w:p>
            <w:pPr>
              <w:pStyle w:val="37"/>
              <w:numPr>
                <w:ilvl w:val="2"/>
                <w:numId w:val="11"/>
              </w:numPr>
              <w:suppressAutoHyphens/>
              <w:spacing w:before="0" w:afterLines="0" w:line="288" w:lineRule="auto"/>
              <w:rPr>
                <w:sz w:val="21"/>
                <w:szCs w:val="21"/>
              </w:rPr>
            </w:pPr>
            <w:r>
              <w:rPr>
                <w:sz w:val="21"/>
                <w:szCs w:val="21"/>
              </w:rPr>
              <w:t>Whether/how one or more power offset values are dynamically indicated to UE for CSI measurement/reporting, and PDSCH reception</w:t>
            </w:r>
          </w:p>
          <w:p>
            <w:pPr>
              <w:pStyle w:val="37"/>
              <w:numPr>
                <w:ilvl w:val="2"/>
                <w:numId w:val="11"/>
              </w:numPr>
              <w:suppressAutoHyphens/>
              <w:spacing w:before="0" w:afterLines="0" w:line="288" w:lineRule="auto"/>
              <w:rPr>
                <w:sz w:val="21"/>
                <w:szCs w:val="21"/>
              </w:rPr>
            </w:pPr>
            <w:r>
              <w:rPr>
                <w:sz w:val="21"/>
                <w:szCs w:val="21"/>
              </w:rPr>
              <w:t>Overhead reduction for CSI reports associated with multiple power offset values between PDSCH and CSI-RS</w:t>
            </w:r>
          </w:p>
          <w:p>
            <w:pPr>
              <w:pStyle w:val="37"/>
              <w:numPr>
                <w:ilvl w:val="2"/>
                <w:numId w:val="11"/>
              </w:numPr>
              <w:suppressAutoHyphens/>
              <w:spacing w:before="0" w:afterLines="0" w:line="288" w:lineRule="auto"/>
              <w:rPr>
                <w:sz w:val="21"/>
                <w:szCs w:val="21"/>
              </w:rPr>
            </w:pPr>
            <w:r>
              <w:rPr>
                <w:sz w:val="21"/>
                <w:szCs w:val="21"/>
              </w:rPr>
              <w:t>Whether other UE report content can be included</w:t>
            </w:r>
          </w:p>
          <w:p>
            <w:pPr>
              <w:spacing w:before="0" w:beforeLines="0" w:after="0" w:afterLines="0" w:line="288" w:lineRule="auto"/>
              <w:rPr>
                <w:szCs w:val="21"/>
              </w:rPr>
            </w:pPr>
          </w:p>
          <w:p>
            <w:pPr>
              <w:spacing w:before="0" w:beforeLines="0" w:after="0" w:afterLines="0" w:line="288" w:lineRule="auto"/>
              <w:rPr>
                <w:b/>
                <w:bCs/>
                <w:szCs w:val="21"/>
                <w:highlight w:val="green"/>
              </w:rPr>
            </w:pPr>
            <w:r>
              <w:rPr>
                <w:b/>
                <w:bCs/>
                <w:szCs w:val="21"/>
                <w:highlight w:val="green"/>
              </w:rPr>
              <w:t>Agreement</w:t>
            </w:r>
          </w:p>
          <w:p>
            <w:pPr>
              <w:spacing w:before="0" w:beforeLines="0" w:after="0" w:afterLines="0" w:line="288" w:lineRule="auto"/>
              <w:rPr>
                <w:szCs w:val="21"/>
              </w:rPr>
            </w:pPr>
            <w:r>
              <w:rPr>
                <w:szCs w:val="21"/>
              </w:rPr>
              <w:t>For spatial and power domain adaptation, solution(s) based on adaptation within an active BWP is considered as baseline</w:t>
            </w:r>
          </w:p>
          <w:p>
            <w:pPr>
              <w:spacing w:before="0" w:beforeLines="0" w:after="0" w:afterLines="0" w:line="288" w:lineRule="auto"/>
              <w:rPr>
                <w:szCs w:val="21"/>
              </w:rPr>
            </w:pPr>
          </w:p>
          <w:p>
            <w:pPr>
              <w:spacing w:before="0" w:beforeLines="0" w:after="0" w:afterLines="0" w:line="288" w:lineRule="auto"/>
              <w:rPr>
                <w:b/>
                <w:bCs/>
                <w:szCs w:val="21"/>
                <w:highlight w:val="green"/>
              </w:rPr>
            </w:pPr>
            <w:r>
              <w:rPr>
                <w:b/>
                <w:bCs/>
                <w:szCs w:val="21"/>
                <w:highlight w:val="green"/>
              </w:rPr>
              <w:t>Agreement</w:t>
            </w:r>
          </w:p>
          <w:p>
            <w:pPr>
              <w:spacing w:before="0" w:beforeLines="0" w:after="0" w:afterLines="0" w:line="288" w:lineRule="auto"/>
              <w:rPr>
                <w:szCs w:val="21"/>
              </w:rPr>
            </w:pPr>
            <w:r>
              <w:rPr>
                <w:szCs w:val="21"/>
              </w:rPr>
              <w:t>Discuss the signalling aspects for spatial/power domain adaptation for Rel-18 NES-capable UEs considering that</w:t>
            </w:r>
          </w:p>
          <w:p>
            <w:pPr>
              <w:pStyle w:val="37"/>
              <w:numPr>
                <w:ilvl w:val="1"/>
                <w:numId w:val="11"/>
              </w:numPr>
              <w:tabs>
                <w:tab w:val="left" w:pos="0"/>
              </w:tabs>
              <w:suppressAutoHyphens/>
              <w:spacing w:before="0" w:afterLines="0" w:line="288" w:lineRule="auto"/>
              <w:rPr>
                <w:sz w:val="21"/>
                <w:szCs w:val="21"/>
              </w:rPr>
            </w:pPr>
            <w:r>
              <w:rPr>
                <w:sz w:val="21"/>
                <w:szCs w:val="21"/>
              </w:rPr>
              <w:t>Whether there is a need for transition time per adaptation (for UE)</w:t>
            </w:r>
          </w:p>
          <w:p>
            <w:pPr>
              <w:pStyle w:val="37"/>
              <w:numPr>
                <w:ilvl w:val="1"/>
                <w:numId w:val="11"/>
              </w:numPr>
              <w:tabs>
                <w:tab w:val="left" w:pos="0"/>
              </w:tabs>
              <w:suppressAutoHyphens/>
              <w:spacing w:before="0" w:afterLines="0" w:line="288" w:lineRule="auto"/>
              <w:rPr>
                <w:szCs w:val="21"/>
              </w:rPr>
            </w:pPr>
            <w:r>
              <w:rPr>
                <w:rFonts w:eastAsia="PMingLiU"/>
                <w:bCs/>
                <w:sz w:val="21"/>
                <w:szCs w:val="21"/>
                <w:lang w:eastAsia="zh-TW"/>
              </w:rPr>
              <w:t>Whether/How to inform UE on spatial adaptation pattern update and/or PDSCH/CSI-RS transmission power change due to adaptation.</w:t>
            </w:r>
          </w:p>
        </w:tc>
      </w:tr>
    </w:tbl>
    <w:p>
      <w:pPr>
        <w:spacing w:before="120" w:after="120" w:line="256" w:lineRule="auto"/>
        <w:rPr>
          <w:lang w:bidi="ar"/>
        </w:rPr>
      </w:pPr>
      <w:r>
        <w:rPr>
          <w:szCs w:val="21"/>
        </w:rPr>
        <w:t xml:space="preserve">In this paper, the enhanced CSI measurement/ reporting and dynamic indication for spatial and power domain adaptation are discussed. </w:t>
      </w:r>
    </w:p>
    <w:p>
      <w:pPr>
        <w:pStyle w:val="2"/>
        <w:numPr>
          <w:ilvl w:val="0"/>
          <w:numId w:val="9"/>
        </w:numPr>
        <w:spacing w:before="120" w:after="120"/>
        <w:rPr>
          <w:rFonts w:ascii="Times New Roman" w:hAnsi="Times New Roman" w:eastAsia="宋体"/>
          <w:b/>
          <w:bCs/>
          <w:sz w:val="28"/>
          <w:szCs w:val="28"/>
        </w:rPr>
      </w:pPr>
      <w:r>
        <w:rPr>
          <w:rFonts w:hint="eastAsia" w:ascii="Times New Roman" w:hAnsi="Times New Roman" w:eastAsia="宋体"/>
          <w:b/>
          <w:bCs/>
          <w:sz w:val="28"/>
          <w:szCs w:val="28"/>
        </w:rPr>
        <w:t>Consideration of the necessity of multiple CSI reports</w:t>
      </w:r>
    </w:p>
    <w:p>
      <w:pPr>
        <w:spacing w:before="120" w:after="120"/>
      </w:pPr>
      <w:r>
        <w:rPr>
          <w:rFonts w:hint="eastAsia"/>
        </w:rPr>
        <w:t>If the number of antenna</w:t>
      </w:r>
      <w:r>
        <w:t>s</w:t>
      </w:r>
      <w:r>
        <w:rPr>
          <w:rFonts w:hint="eastAsia"/>
        </w:rPr>
        <w:t xml:space="preserve"> for CSI-RS is changed dynamically, the CSI reported before </w:t>
      </w:r>
      <w:r>
        <w:t>the</w:t>
      </w:r>
      <w:r>
        <w:rPr>
          <w:rFonts w:hint="eastAsia"/>
        </w:rPr>
        <w:t xml:space="preserve"> adaptation </w:t>
      </w:r>
      <w:r>
        <w:t>will</w:t>
      </w:r>
      <w:r>
        <w:rPr>
          <w:rFonts w:hint="eastAsia"/>
        </w:rPr>
        <w:t xml:space="preserve"> </w:t>
      </w:r>
      <w:r>
        <w:t>be</w:t>
      </w:r>
      <w:r>
        <w:rPr>
          <w:rFonts w:hint="eastAsia"/>
        </w:rPr>
        <w:t xml:space="preserve"> </w:t>
      </w:r>
      <w:r>
        <w:t>out-of-state</w:t>
      </w:r>
      <w:r>
        <w:rPr>
          <w:rFonts w:hint="eastAsia"/>
        </w:rPr>
        <w:t xml:space="preserve"> for the </w:t>
      </w:r>
      <w:r>
        <w:t>data scheduling</w:t>
      </w:r>
      <w:r>
        <w:rPr>
          <w:rFonts w:hint="eastAsia"/>
        </w:rPr>
        <w:t xml:space="preserve"> after adap</w:t>
      </w:r>
      <w:r>
        <w:t>ta</w:t>
      </w:r>
      <w:r>
        <w:rPr>
          <w:rFonts w:hint="eastAsia"/>
        </w:rPr>
        <w:t>tion. Therefore, it will be benefi</w:t>
      </w:r>
      <w:r>
        <w:t>cial</w:t>
      </w:r>
      <w:r>
        <w:rPr>
          <w:rFonts w:hint="eastAsia"/>
        </w:rPr>
        <w:t xml:space="preserve"> if UE report CSIs for different number</w:t>
      </w:r>
      <w:r>
        <w:t>s</w:t>
      </w:r>
      <w:r>
        <w:rPr>
          <w:rFonts w:hint="eastAsia"/>
        </w:rPr>
        <w:t xml:space="preserve"> of CSI-RS ports</w:t>
      </w:r>
      <w:r>
        <w:t xml:space="preserve"> in advance so that</w:t>
      </w:r>
      <w:r>
        <w:rPr>
          <w:rFonts w:hint="eastAsia"/>
        </w:rPr>
        <w:t xml:space="preserve"> gNB has more </w:t>
      </w:r>
      <w:r>
        <w:t>information</w:t>
      </w:r>
      <w:r>
        <w:rPr>
          <w:rFonts w:hint="eastAsia"/>
        </w:rPr>
        <w:t xml:space="preserve"> about </w:t>
      </w:r>
      <w:r>
        <w:t xml:space="preserve">channel state of </w:t>
      </w:r>
      <w:r>
        <w:rPr>
          <w:rFonts w:hint="eastAsia"/>
        </w:rPr>
        <w:t xml:space="preserve">different number of ports, </w:t>
      </w:r>
      <w:r>
        <w:t>it</w:t>
      </w:r>
      <w:r>
        <w:rPr>
          <w:rFonts w:hint="eastAsia"/>
        </w:rPr>
        <w:t xml:space="preserve"> has more choices to adapt the antenna</w:t>
      </w:r>
      <w:r>
        <w:t xml:space="preserve"> patterns to fit into traffic arrival and channel condition without sacrificing network energy saving gain (ESG) and system performance</w:t>
      </w:r>
      <w:r>
        <w:rPr>
          <w:rFonts w:hint="eastAsia"/>
        </w:rPr>
        <w:t xml:space="preserve">. </w:t>
      </w:r>
    </w:p>
    <w:p>
      <w:pPr>
        <w:spacing w:before="120" w:after="120"/>
      </w:pPr>
      <w:bookmarkStart w:id="1" w:name="_Toc10058"/>
      <w:r>
        <w:rPr>
          <w:rFonts w:hint="eastAsia"/>
        </w:rPr>
        <w:t>In this section, the evaluation results of dynamic antenna adaptation with multi-CSI report and single CSI report are provided. FTP3 with 20KByte packet size is used. The simulation assumption</w:t>
      </w:r>
      <w:r>
        <w:t>s</w:t>
      </w:r>
      <w:r>
        <w:rPr>
          <w:rFonts w:hint="eastAsia"/>
        </w:rPr>
        <w:t xml:space="preserve"> are provided in Appendix</w:t>
      </w:r>
      <w:r>
        <w:t xml:space="preserve"> A.1</w:t>
      </w:r>
      <w:r>
        <w:rPr>
          <w:rFonts w:hint="eastAsia"/>
        </w:rPr>
        <w:t>.</w:t>
      </w:r>
    </w:p>
    <w:p>
      <w:pPr>
        <w:spacing w:before="120" w:after="120"/>
      </w:pPr>
      <w:r>
        <w:rPr>
          <w:rFonts w:hint="eastAsia"/>
        </w:rPr>
        <w:t xml:space="preserve">In dynamic antenna adaptation with single CSI report, </w:t>
      </w:r>
      <w:r>
        <w:rPr>
          <w:rFonts w:hint="eastAsia" w:eastAsiaTheme="minorEastAsia"/>
        </w:rPr>
        <w:t>t</w:t>
      </w:r>
      <w:r>
        <w:rPr>
          <w:rFonts w:hint="eastAsia"/>
        </w:rPr>
        <w:t>he gNB can dynamically change the TxRU</w:t>
      </w:r>
      <w:r>
        <w:t>s</w:t>
      </w:r>
      <w:r>
        <w:rPr>
          <w:rFonts w:hint="eastAsia"/>
        </w:rPr>
        <w:t xml:space="preserve"> a</w:t>
      </w:r>
      <w:r>
        <w:t xml:space="preserve">mong </w:t>
      </w:r>
      <w:r>
        <w:rPr>
          <w:rFonts w:hint="eastAsia"/>
        </w:rPr>
        <w:t>{64TxRU</w:t>
      </w:r>
      <w:r>
        <w:t>s</w:t>
      </w:r>
      <w:r>
        <w:rPr>
          <w:rFonts w:hint="eastAsia"/>
        </w:rPr>
        <w:t>, 32TxRU</w:t>
      </w:r>
      <w:r>
        <w:t>s</w:t>
      </w:r>
      <w:r>
        <w:rPr>
          <w:rFonts w:hint="eastAsia"/>
        </w:rPr>
        <w:t>} based on the reported CSI</w:t>
      </w:r>
      <w:r>
        <w:t xml:space="preserve"> and traffic arrival, where</w:t>
      </w:r>
      <w:r>
        <w:rPr>
          <w:rFonts w:hint="eastAsia"/>
        </w:rPr>
        <w:t xml:space="preserve"> UE reports CSI</w:t>
      </w:r>
      <w:r>
        <w:t xml:space="preserve"> for</w:t>
      </w:r>
      <w:r>
        <w:rPr>
          <w:rFonts w:hint="eastAsia"/>
        </w:rPr>
        <w:t xml:space="preserve"> 64 ports or 32 ports CSI </w:t>
      </w:r>
      <w:r>
        <w:t xml:space="preserve">based on </w:t>
      </w:r>
      <w:r>
        <w:rPr>
          <w:rFonts w:hint="eastAsia"/>
        </w:rPr>
        <w:t>gNB</w:t>
      </w:r>
      <w:r>
        <w:t xml:space="preserve"> antenna adaptation</w:t>
      </w:r>
      <w:r>
        <w:rPr>
          <w:rFonts w:hint="eastAsia"/>
        </w:rPr>
        <w:t>.</w:t>
      </w:r>
    </w:p>
    <w:p>
      <w:pPr>
        <w:spacing w:before="120" w:after="120"/>
      </w:pPr>
      <w:r>
        <w:rPr>
          <w:rFonts w:hint="eastAsia"/>
        </w:rPr>
        <w:t>In dynamic antenna adaptation with multi-CSI report, the CSI of {64port</w:t>
      </w:r>
      <w:r>
        <w:t>s</w:t>
      </w:r>
      <w:r>
        <w:rPr>
          <w:rFonts w:hint="eastAsia"/>
        </w:rPr>
        <w:t>, 32port</w:t>
      </w:r>
      <w:r>
        <w:t>s</w:t>
      </w:r>
      <w:r>
        <w:rPr>
          <w:rFonts w:hint="eastAsia"/>
        </w:rPr>
        <w:t>, 16port</w:t>
      </w:r>
      <w:r>
        <w:t>s</w:t>
      </w:r>
      <w:r>
        <w:rPr>
          <w:rFonts w:hint="eastAsia"/>
        </w:rPr>
        <w:t>, 8port</w:t>
      </w:r>
      <w:r>
        <w:t>s</w:t>
      </w:r>
      <w:r>
        <w:rPr>
          <w:rFonts w:hint="eastAsia"/>
        </w:rPr>
        <w:t>} are reported, the gNB can dynamically change the TxRU</w:t>
      </w:r>
      <w:r>
        <w:t>s</w:t>
      </w:r>
      <w:r>
        <w:rPr>
          <w:rFonts w:hint="eastAsia"/>
        </w:rPr>
        <w:t xml:space="preserve"> among {64TxRU</w:t>
      </w:r>
      <w:r>
        <w:t>s</w:t>
      </w:r>
      <w:r>
        <w:rPr>
          <w:rFonts w:hint="eastAsia"/>
        </w:rPr>
        <w:t>, 32TxRU</w:t>
      </w:r>
      <w:r>
        <w:t>s</w:t>
      </w:r>
      <w:r>
        <w:rPr>
          <w:rFonts w:hint="eastAsia"/>
        </w:rPr>
        <w:t>, 16TxRU</w:t>
      </w:r>
      <w:r>
        <w:t>s</w:t>
      </w:r>
      <w:r>
        <w:rPr>
          <w:rFonts w:hint="eastAsia"/>
        </w:rPr>
        <w:t>, 8TxRU</w:t>
      </w:r>
      <w:r>
        <w:t>s</w:t>
      </w:r>
      <w:r>
        <w:rPr>
          <w:rFonts w:hint="eastAsia"/>
        </w:rPr>
        <w:t xml:space="preserve">} for PDSCH transmission based on the </w:t>
      </w:r>
      <w:r>
        <w:t xml:space="preserve">reported </w:t>
      </w:r>
      <w:r>
        <w:rPr>
          <w:rFonts w:hint="eastAsia"/>
        </w:rPr>
        <w:t>multi-CSI.</w:t>
      </w:r>
    </w:p>
    <w:p>
      <w:pPr>
        <w:spacing w:before="120" w:after="120"/>
        <w:jc w:val="center"/>
      </w:pPr>
      <w:r>
        <w:drawing>
          <wp:inline distT="0" distB="0" distL="114300" distR="114300">
            <wp:extent cx="3286760" cy="2148205"/>
            <wp:effectExtent l="4445" t="4445" r="23495" b="1905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pacing w:before="120" w:after="120"/>
        <w:jc w:val="center"/>
      </w:pPr>
      <w:r>
        <w:rPr>
          <w:rFonts w:hint="eastAsia"/>
        </w:rPr>
        <w:t>Figure 1 Simulation results for spatial domain</w:t>
      </w:r>
    </w:p>
    <w:p>
      <w:pPr>
        <w:spacing w:before="120" w:after="120"/>
      </w:pPr>
      <w:r>
        <w:rPr>
          <w:rFonts w:hint="eastAsia"/>
        </w:rPr>
        <w:t xml:space="preserve">According to simulation results in Figure 1, multi-CSI report provides </w:t>
      </w:r>
      <w:r>
        <w:t xml:space="preserve">additional </w:t>
      </w:r>
      <w:r>
        <w:rPr>
          <w:rFonts w:hint="eastAsia"/>
        </w:rPr>
        <w:t>17.36% ESG compared with single CSI report. And multi-CSI report has less UPT loss than single CSI report.</w:t>
      </w:r>
    </w:p>
    <w:p>
      <w:pPr>
        <w:pStyle w:val="30"/>
        <w:spacing w:before="120" w:after="120"/>
      </w:pPr>
      <w:bookmarkStart w:id="2" w:name="_Toc30555"/>
      <w:bookmarkStart w:id="3" w:name="_Toc25223"/>
      <w:bookmarkStart w:id="4" w:name="_Toc1604"/>
      <w:bookmarkStart w:id="5" w:name="_Toc5756"/>
      <w:bookmarkStart w:id="6" w:name="_Toc127521888"/>
      <w:bookmarkStart w:id="7" w:name="_Toc7715"/>
      <w:bookmarkStart w:id="8" w:name="_Toc1477"/>
      <w:bookmarkStart w:id="9" w:name="_Toc11112"/>
      <w:r>
        <w:rPr>
          <w:rFonts w:hint="eastAsia"/>
          <w:lang w:val="en-US" w:eastAsia="zh-CN"/>
        </w:rPr>
        <w:t xml:space="preserve">Multi-CSI report provides </w:t>
      </w:r>
      <w:r>
        <w:rPr>
          <w:lang w:val="en-US" w:eastAsia="zh-CN"/>
        </w:rPr>
        <w:t xml:space="preserve">additional </w:t>
      </w:r>
      <w:r>
        <w:rPr>
          <w:rFonts w:hint="eastAsia"/>
          <w:lang w:val="en-US" w:eastAsia="zh-CN"/>
        </w:rPr>
        <w:t>17.36% ESG</w:t>
      </w:r>
      <w:r>
        <w:rPr>
          <w:lang w:val="en-US" w:eastAsia="zh-CN"/>
        </w:rPr>
        <w:t xml:space="preserve"> and less UPT loss</w:t>
      </w:r>
      <w:r>
        <w:rPr>
          <w:rFonts w:hint="eastAsia"/>
          <w:lang w:val="en-US" w:eastAsia="zh-CN"/>
        </w:rPr>
        <w:t xml:space="preserve"> compared with single CSI report.</w:t>
      </w:r>
      <w:bookmarkEnd w:id="2"/>
      <w:bookmarkEnd w:id="3"/>
      <w:bookmarkEnd w:id="4"/>
      <w:bookmarkEnd w:id="5"/>
      <w:bookmarkEnd w:id="6"/>
      <w:bookmarkEnd w:id="7"/>
      <w:bookmarkEnd w:id="8"/>
      <w:bookmarkEnd w:id="9"/>
    </w:p>
    <w:bookmarkEnd w:id="1"/>
    <w:p>
      <w:pPr>
        <w:pStyle w:val="31"/>
        <w:tabs>
          <w:tab w:val="left" w:pos="1417"/>
          <w:tab w:val="clear" w:pos="0"/>
        </w:tabs>
        <w:spacing w:before="120" w:after="120"/>
        <w:rPr>
          <w:lang w:val="en-US" w:eastAsia="zh-CN"/>
        </w:rPr>
      </w:pPr>
      <w:bookmarkStart w:id="10" w:name="_Toc127521801"/>
      <w:bookmarkStart w:id="11" w:name="_Toc19062"/>
      <w:bookmarkStart w:id="12" w:name="_Toc12903"/>
      <w:bookmarkStart w:id="13" w:name="_Toc17993"/>
      <w:bookmarkStart w:id="14" w:name="_Toc131790356"/>
      <w:bookmarkStart w:id="15" w:name="_Toc7886"/>
      <w:bookmarkStart w:id="16" w:name="_Toc29845"/>
      <w:bookmarkStart w:id="17" w:name="_Toc8680"/>
      <w:bookmarkStart w:id="18" w:name="_Toc1508"/>
      <w:bookmarkStart w:id="19" w:name="_Toc1041"/>
      <w:bookmarkStart w:id="20" w:name="_Toc24703"/>
      <w:bookmarkStart w:id="21" w:name="_Toc9234"/>
      <w:r>
        <w:rPr>
          <w:rFonts w:hint="eastAsia"/>
          <w:lang w:val="en-US" w:eastAsia="zh-CN"/>
        </w:rPr>
        <w:t>Multi-CSI</w:t>
      </w:r>
      <w:r>
        <w:rPr>
          <w:lang w:val="en-US" w:eastAsia="zh-CN"/>
        </w:rPr>
        <w:t xml:space="preserve"> report </w:t>
      </w:r>
      <w:r>
        <w:rPr>
          <w:rFonts w:hint="eastAsia"/>
          <w:lang w:val="en-US" w:eastAsia="zh-CN"/>
        </w:rPr>
        <w:t>should be considered</w:t>
      </w:r>
      <w:r>
        <w:rPr>
          <w:lang w:val="en-US" w:eastAsia="zh-CN"/>
        </w:rPr>
        <w:t xml:space="preserve"> for network spatial adaptation for energy saving</w:t>
      </w:r>
      <w:r>
        <w:rPr>
          <w:rFonts w:hint="eastAsia"/>
          <w:lang w:val="en-US" w:eastAsia="zh-CN"/>
        </w:rPr>
        <w:t>.</w:t>
      </w:r>
      <w:bookmarkEnd w:id="10"/>
      <w:bookmarkEnd w:id="11"/>
      <w:bookmarkEnd w:id="12"/>
      <w:bookmarkEnd w:id="13"/>
      <w:bookmarkEnd w:id="14"/>
      <w:bookmarkEnd w:id="15"/>
      <w:bookmarkEnd w:id="16"/>
      <w:bookmarkEnd w:id="17"/>
      <w:bookmarkEnd w:id="18"/>
      <w:bookmarkEnd w:id="19"/>
      <w:bookmarkEnd w:id="20"/>
      <w:bookmarkEnd w:id="21"/>
    </w:p>
    <w:p>
      <w:pPr>
        <w:pStyle w:val="2"/>
        <w:numPr>
          <w:ilvl w:val="0"/>
          <w:numId w:val="9"/>
        </w:numPr>
        <w:spacing w:before="120" w:after="120"/>
        <w:rPr>
          <w:rFonts w:ascii="Times New Roman" w:hAnsi="Times New Roman" w:eastAsia="宋体"/>
          <w:b/>
          <w:bCs/>
          <w:sz w:val="28"/>
          <w:szCs w:val="28"/>
        </w:rPr>
      </w:pPr>
      <w:r>
        <w:rPr>
          <w:rFonts w:hint="eastAsia" w:ascii="Times New Roman" w:hAnsi="Times New Roman" w:eastAsia="宋体"/>
          <w:b/>
          <w:bCs/>
          <w:sz w:val="28"/>
          <w:szCs w:val="28"/>
        </w:rPr>
        <w:t>Consideration of CSI-RS resource for different number of ports</w:t>
      </w:r>
    </w:p>
    <w:p>
      <w:pPr>
        <w:spacing w:before="120" w:after="120"/>
      </w:pPr>
      <w:r>
        <w:rPr>
          <w:rFonts w:hint="eastAsia"/>
        </w:rPr>
        <w:t>In RAN1#112 meeting, the</w:t>
      </w:r>
      <w:r>
        <w:t xml:space="preserve"> agreed</w:t>
      </w:r>
      <w:r>
        <w:rPr>
          <w:rFonts w:hint="eastAsia"/>
        </w:rPr>
        <w:t xml:space="preserve"> CSI-RS resource configuration with different numbers of ports ha</w:t>
      </w:r>
      <w:r>
        <w:t>s</w:t>
      </w:r>
      <w:r>
        <w:rPr>
          <w:rFonts w:hint="eastAsia"/>
        </w:rPr>
        <w:t xml:space="preserve"> two alternatives.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spacing w:before="0" w:beforeLines="0" w:after="0" w:afterLines="0" w:line="288" w:lineRule="auto"/>
              <w:rPr>
                <w:b/>
                <w:bCs/>
                <w:szCs w:val="21"/>
                <w:highlight w:val="green"/>
              </w:rPr>
            </w:pPr>
            <w:r>
              <w:rPr>
                <w:b/>
                <w:bCs/>
                <w:szCs w:val="21"/>
                <w:highlight w:val="green"/>
              </w:rPr>
              <w:t>Agreement</w:t>
            </w:r>
          </w:p>
          <w:p>
            <w:pPr>
              <w:spacing w:before="0" w:beforeLines="0" w:after="0" w:afterLines="0" w:line="288" w:lineRule="auto"/>
              <w:rPr>
                <w:szCs w:val="21"/>
              </w:rPr>
            </w:pPr>
            <w:r>
              <w:rPr>
                <w:rFonts w:hint="eastAsia"/>
                <w:szCs w:val="21"/>
              </w:rPr>
              <w:t>F</w:t>
            </w:r>
            <w:r>
              <w:rPr>
                <w:szCs w:val="21"/>
              </w:rPr>
              <w:t>or spatial element adaptation, further study the following</w:t>
            </w:r>
          </w:p>
          <w:p>
            <w:pPr>
              <w:pStyle w:val="37"/>
              <w:numPr>
                <w:ilvl w:val="1"/>
                <w:numId w:val="12"/>
              </w:numPr>
              <w:suppressAutoHyphens/>
              <w:spacing w:before="0" w:afterLines="0" w:line="288" w:lineRule="auto"/>
              <w:ind w:left="720" w:hanging="360"/>
              <w:rPr>
                <w:sz w:val="21"/>
                <w:szCs w:val="21"/>
              </w:rPr>
            </w:pPr>
            <w:r>
              <w:rPr>
                <w:sz w:val="21"/>
                <w:szCs w:val="21"/>
              </w:rPr>
              <w:t>A1-1) Each CSI-RS resource/resource set/resource setting can be associated with only one spatial adaptation pattern</w:t>
            </w:r>
          </w:p>
          <w:p>
            <w:pPr>
              <w:pStyle w:val="37"/>
              <w:numPr>
                <w:ilvl w:val="2"/>
                <w:numId w:val="12"/>
              </w:numPr>
              <w:suppressAutoHyphens/>
              <w:spacing w:before="0" w:afterLines="0" w:line="288" w:lineRule="auto"/>
              <w:rPr>
                <w:sz w:val="21"/>
                <w:szCs w:val="21"/>
              </w:rPr>
            </w:pPr>
            <w:r>
              <w:rPr>
                <w:sz w:val="21"/>
                <w:szCs w:val="21"/>
              </w:rPr>
              <w:t>FFS: Details on how the association is done</w:t>
            </w:r>
          </w:p>
          <w:p>
            <w:pPr>
              <w:pStyle w:val="37"/>
              <w:numPr>
                <w:ilvl w:val="1"/>
                <w:numId w:val="12"/>
              </w:numPr>
              <w:suppressAutoHyphens/>
              <w:spacing w:before="0" w:afterLines="0" w:line="288" w:lineRule="auto"/>
              <w:ind w:left="720" w:hanging="360"/>
              <w:rPr>
                <w:sz w:val="21"/>
                <w:szCs w:val="21"/>
              </w:rPr>
            </w:pPr>
            <w:r>
              <w:rPr>
                <w:sz w:val="21"/>
                <w:szCs w:val="21"/>
              </w:rPr>
              <w:t>A1-2) Each CSI-RS resource/resource set/resource setting can be associated with one or more spatial adaptation patterns</w:t>
            </w:r>
          </w:p>
          <w:p>
            <w:pPr>
              <w:pStyle w:val="37"/>
              <w:numPr>
                <w:ilvl w:val="2"/>
                <w:numId w:val="12"/>
              </w:numPr>
              <w:suppressAutoHyphens/>
              <w:spacing w:before="0" w:afterLines="0" w:line="288" w:lineRule="auto"/>
              <w:rPr>
                <w:sz w:val="21"/>
                <w:szCs w:val="21"/>
              </w:rPr>
            </w:pPr>
            <w:r>
              <w:rPr>
                <w:sz w:val="21"/>
                <w:szCs w:val="21"/>
              </w:rPr>
              <w:t>FFS: Details on how the association is done</w:t>
            </w:r>
          </w:p>
          <w:p>
            <w:pPr>
              <w:pStyle w:val="37"/>
              <w:numPr>
                <w:ilvl w:val="1"/>
                <w:numId w:val="12"/>
              </w:numPr>
              <w:suppressAutoHyphens/>
              <w:spacing w:before="0" w:afterLines="0" w:line="288" w:lineRule="auto"/>
              <w:ind w:left="720" w:hanging="360"/>
            </w:pPr>
            <w:r>
              <w:rPr>
                <w:sz w:val="21"/>
                <w:szCs w:val="21"/>
              </w:rPr>
              <w:t>FFS: Details on the definition of “spatial adaptation patterns”</w:t>
            </w:r>
          </w:p>
        </w:tc>
      </w:tr>
    </w:tbl>
    <w:p>
      <w:pPr>
        <w:spacing w:before="120" w:after="120"/>
      </w:pPr>
      <w:r>
        <w:rPr>
          <w:rFonts w:hint="eastAsia"/>
        </w:rPr>
        <w:t>For A1-1, multiple CSI-RS resource/resource set/resource setting should be configured separately</w:t>
      </w:r>
      <w:r>
        <w:t xml:space="preserve"> and </w:t>
      </w:r>
      <w:r>
        <w:rPr>
          <w:rFonts w:hint="eastAsia"/>
        </w:rPr>
        <w:t xml:space="preserve">gNB indicates which CSI-RS resource/resource set/resource setting(s) is used for CSI </w:t>
      </w:r>
      <w:r>
        <w:t>measurement and reporting.</w:t>
      </w:r>
      <w:r>
        <w:rPr>
          <w:rFonts w:hint="eastAsia"/>
        </w:rPr>
        <w:t xml:space="preserve"> </w:t>
      </w:r>
      <w:r>
        <w:t>T</w:t>
      </w:r>
      <w:r>
        <w:rPr>
          <w:rFonts w:hint="eastAsia"/>
        </w:rPr>
        <w:t xml:space="preserve">he overhead </w:t>
      </w:r>
      <w:r>
        <w:t xml:space="preserve">of </w:t>
      </w:r>
      <w:r>
        <w:rPr>
          <w:rFonts w:hint="eastAsia"/>
        </w:rPr>
        <w:t xml:space="preserve">RRC signaling </w:t>
      </w:r>
      <w:r>
        <w:t xml:space="preserve">and CSI-RS transmission </w:t>
      </w:r>
      <w:r>
        <w:rPr>
          <w:rFonts w:hint="eastAsia"/>
        </w:rPr>
        <w:t xml:space="preserve">is </w:t>
      </w:r>
      <w:r>
        <w:t>increased for multiple CSI reports</w:t>
      </w:r>
      <w:r>
        <w:rPr>
          <w:rFonts w:hint="eastAsia"/>
        </w:rPr>
        <w:t xml:space="preserve">. </w:t>
      </w:r>
    </w:p>
    <w:p>
      <w:pPr>
        <w:spacing w:before="120" w:after="120"/>
      </w:pPr>
      <w:r>
        <w:rPr>
          <w:rFonts w:hint="eastAsia"/>
        </w:rPr>
        <w:t xml:space="preserve">For A1-2, </w:t>
      </w:r>
      <w:r>
        <w:t xml:space="preserve">since </w:t>
      </w:r>
      <w:r>
        <w:rPr>
          <w:rFonts w:hint="eastAsia"/>
        </w:rPr>
        <w:t>the</w:t>
      </w:r>
      <w:r>
        <w:t xml:space="preserve"> measurement</w:t>
      </w:r>
      <w:r>
        <w:rPr>
          <w:rFonts w:hint="eastAsia"/>
        </w:rPr>
        <w:t xml:space="preserve"> resource</w:t>
      </w:r>
      <w:r>
        <w:t>s</w:t>
      </w:r>
      <w:r>
        <w:rPr>
          <w:rFonts w:hint="eastAsia"/>
        </w:rPr>
        <w:t xml:space="preserve"> for different port numbers are nested</w:t>
      </w:r>
      <w:r>
        <w:t>,</w:t>
      </w:r>
      <w:r>
        <w:rPr>
          <w:rFonts w:hint="eastAsia"/>
        </w:rPr>
        <w:t xml:space="preserve"> only one </w:t>
      </w:r>
      <w:r>
        <w:t>CSI-RS resource/resource set/resource setting</w:t>
      </w:r>
      <w:r>
        <w:rPr>
          <w:rFonts w:hint="eastAsia"/>
        </w:rPr>
        <w:t xml:space="preserve"> </w:t>
      </w:r>
      <w:r>
        <w:t>needs to be</w:t>
      </w:r>
      <w:r>
        <w:rPr>
          <w:rFonts w:hint="eastAsia"/>
        </w:rPr>
        <w:t xml:space="preserve"> configured, the overhead</w:t>
      </w:r>
      <w:r>
        <w:t xml:space="preserve"> of</w:t>
      </w:r>
      <w:r>
        <w:rPr>
          <w:rFonts w:hint="eastAsia"/>
        </w:rPr>
        <w:t xml:space="preserve"> </w:t>
      </w:r>
      <w:r>
        <w:t xml:space="preserve">both </w:t>
      </w:r>
      <w:r>
        <w:rPr>
          <w:rFonts w:hint="eastAsia"/>
        </w:rPr>
        <w:t>RRC signaling</w:t>
      </w:r>
      <w:r>
        <w:t xml:space="preserve"> and CSI-RS transmission</w:t>
      </w:r>
      <w:r>
        <w:rPr>
          <w:rFonts w:hint="eastAsia"/>
        </w:rPr>
        <w:t xml:space="preserve"> is small. </w:t>
      </w:r>
      <w:r>
        <w:t>In addition, it provides more opportunities of network energy saving</w:t>
      </w:r>
      <w:r>
        <w:rPr>
          <w:rFonts w:hint="eastAsia"/>
        </w:rPr>
        <w:t xml:space="preserve"> </w:t>
      </w:r>
      <w:r>
        <w:t>with less DL transmission. And as common</w:t>
      </w:r>
      <w:r>
        <w:rPr>
          <w:rFonts w:hint="eastAsia"/>
        </w:rPr>
        <w:t xml:space="preserve"> resource </w:t>
      </w:r>
      <w:r>
        <w:t>is used for the CSI measurement of</w:t>
      </w:r>
      <w:r>
        <w:rPr>
          <w:rFonts w:hint="eastAsia"/>
        </w:rPr>
        <w:t xml:space="preserve"> different </w:t>
      </w:r>
      <w:r>
        <w:t xml:space="preserve">CSI-RS </w:t>
      </w:r>
      <w:r>
        <w:rPr>
          <w:rFonts w:hint="eastAsia"/>
        </w:rPr>
        <w:t>port numbers</w:t>
      </w:r>
      <w:r>
        <w:t>,</w:t>
      </w:r>
      <w:r>
        <w:rPr>
          <w:rFonts w:hint="eastAsia"/>
        </w:rPr>
        <w:t xml:space="preserve"> </w:t>
      </w:r>
      <w:r>
        <w:t xml:space="preserve">the measurement results will be highly correlated </w:t>
      </w:r>
      <w:r>
        <w:rPr>
          <w:rFonts w:hint="eastAsia"/>
        </w:rPr>
        <w:t xml:space="preserve">among the CSIs. The correlation can be used to reduce the overhead of CSI reports. Hence, A1-2 is preferred. </w:t>
      </w:r>
    </w:p>
    <w:p>
      <w:pPr>
        <w:pStyle w:val="30"/>
        <w:spacing w:before="120" w:after="120"/>
        <w:rPr>
          <w:lang w:val="en-US" w:eastAsia="zh-CN"/>
        </w:rPr>
      </w:pPr>
      <w:bookmarkStart w:id="22" w:name="_Toc17914"/>
      <w:bookmarkStart w:id="23" w:name="_Toc20311"/>
      <w:bookmarkStart w:id="24" w:name="_Toc7313"/>
      <w:r>
        <w:rPr>
          <w:rFonts w:hint="eastAsia"/>
          <w:lang w:val="en-US" w:eastAsia="zh-CN"/>
        </w:rPr>
        <w:t>For A1-2 with nested structure for CSI-measurement, it has the following benefits:</w:t>
      </w:r>
      <w:bookmarkEnd w:id="22"/>
      <w:bookmarkEnd w:id="23"/>
      <w:bookmarkEnd w:id="24"/>
    </w:p>
    <w:p>
      <w:pPr>
        <w:pStyle w:val="30"/>
        <w:numPr>
          <w:ilvl w:val="0"/>
          <w:numId w:val="13"/>
        </w:numPr>
        <w:spacing w:before="120" w:after="120"/>
        <w:rPr>
          <w:lang w:val="en-US" w:eastAsia="zh-CN"/>
        </w:rPr>
      </w:pPr>
      <w:bookmarkStart w:id="25" w:name="_Toc26066"/>
      <w:bookmarkStart w:id="26" w:name="_Toc334"/>
      <w:bookmarkStart w:id="27" w:name="_Toc8551"/>
      <w:r>
        <w:rPr>
          <w:rFonts w:hint="eastAsia"/>
          <w:lang w:val="en-US" w:eastAsia="zh-CN"/>
        </w:rPr>
        <w:t>Less overhead of both RRC signaling and CSI-RS transmission</w:t>
      </w:r>
      <w:bookmarkEnd w:id="25"/>
      <w:bookmarkEnd w:id="26"/>
      <w:bookmarkEnd w:id="27"/>
    </w:p>
    <w:p>
      <w:pPr>
        <w:pStyle w:val="30"/>
        <w:numPr>
          <w:ilvl w:val="0"/>
          <w:numId w:val="13"/>
        </w:numPr>
        <w:spacing w:before="120" w:after="120"/>
        <w:rPr>
          <w:lang w:val="en-US" w:eastAsia="zh-CN"/>
        </w:rPr>
      </w:pPr>
      <w:bookmarkStart w:id="28" w:name="_Toc12407"/>
      <w:bookmarkStart w:id="29" w:name="_Toc29099"/>
      <w:bookmarkStart w:id="30" w:name="_Toc22354"/>
      <w:r>
        <w:rPr>
          <w:rFonts w:hint="eastAsia"/>
          <w:lang w:val="en-US" w:eastAsia="zh-CN"/>
        </w:rPr>
        <w:t>More network energy saving</w:t>
      </w:r>
      <w:bookmarkEnd w:id="28"/>
      <w:bookmarkEnd w:id="29"/>
      <w:r>
        <w:rPr>
          <w:lang w:val="en-US" w:eastAsia="zh-CN"/>
        </w:rPr>
        <w:t xml:space="preserve"> with less DL transmission</w:t>
      </w:r>
      <w:bookmarkEnd w:id="30"/>
    </w:p>
    <w:p>
      <w:pPr>
        <w:pStyle w:val="30"/>
        <w:numPr>
          <w:ilvl w:val="0"/>
          <w:numId w:val="13"/>
        </w:numPr>
        <w:spacing w:before="120" w:after="120"/>
        <w:rPr>
          <w:lang w:val="en-US" w:eastAsia="zh-CN"/>
        </w:rPr>
      </w:pPr>
      <w:bookmarkStart w:id="31" w:name="_Toc11669"/>
      <w:bookmarkStart w:id="32" w:name="_Toc28945"/>
      <w:bookmarkStart w:id="33" w:name="_Toc2878"/>
      <w:r>
        <w:rPr>
          <w:rFonts w:hint="eastAsia"/>
          <w:lang w:val="en-US" w:eastAsia="zh-CN"/>
        </w:rPr>
        <w:t>High correlation among multiple CSIs</w:t>
      </w:r>
      <w:bookmarkEnd w:id="31"/>
      <w:bookmarkEnd w:id="32"/>
      <w:bookmarkEnd w:id="33"/>
    </w:p>
    <w:p>
      <w:pPr>
        <w:pStyle w:val="31"/>
        <w:spacing w:before="120" w:after="120"/>
        <w:rPr>
          <w:lang w:val="en-US" w:eastAsia="zh-CN"/>
        </w:rPr>
      </w:pPr>
      <w:bookmarkStart w:id="34" w:name="_Toc26850"/>
      <w:bookmarkStart w:id="35" w:name="_Toc27948"/>
      <w:bookmarkStart w:id="36" w:name="_Toc9409"/>
      <w:bookmarkStart w:id="37" w:name="_Toc24641"/>
      <w:bookmarkStart w:id="38" w:name="_Toc18117"/>
      <w:bookmarkStart w:id="39" w:name="_Toc18940"/>
      <w:bookmarkStart w:id="40" w:name="_Toc31332"/>
      <w:bookmarkStart w:id="41" w:name="_Toc16141"/>
      <w:bookmarkStart w:id="42" w:name="_Toc131790357"/>
      <w:r>
        <w:rPr>
          <w:rFonts w:hint="eastAsia"/>
          <w:lang w:val="en-US" w:eastAsia="zh-CN"/>
        </w:rPr>
        <w:t>For spatial element adaptation</w:t>
      </w:r>
      <w:r>
        <w:rPr>
          <w:lang w:val="en-US" w:eastAsia="zh-CN"/>
        </w:rPr>
        <w:t xml:space="preserve"> </w:t>
      </w:r>
      <w:r>
        <w:rPr>
          <w:rFonts w:hint="eastAsia"/>
          <w:lang w:val="en-US" w:eastAsia="zh-CN"/>
        </w:rPr>
        <w:t>wit</w:t>
      </w:r>
      <w:r>
        <w:rPr>
          <w:lang w:val="en-US" w:eastAsia="zh-CN"/>
        </w:rPr>
        <w:t>h multi-CSI report</w:t>
      </w:r>
      <w:r>
        <w:rPr>
          <w:rFonts w:hint="eastAsia"/>
          <w:lang w:val="en-US" w:eastAsia="zh-CN"/>
        </w:rPr>
        <w:t>, e</w:t>
      </w:r>
      <w:r>
        <w:rPr>
          <w:lang w:val="en-US" w:eastAsia="zh-CN"/>
        </w:rPr>
        <w:t>ach CSI-RS resource/resource set/resource setting can be associated with more</w:t>
      </w:r>
      <w:r>
        <w:rPr>
          <w:rFonts w:hint="eastAsia"/>
          <w:lang w:val="en-US" w:eastAsia="zh-CN"/>
        </w:rPr>
        <w:t xml:space="preserve"> than one</w:t>
      </w:r>
      <w:r>
        <w:rPr>
          <w:lang w:val="en-US" w:eastAsia="zh-CN"/>
        </w:rPr>
        <w:t xml:space="preserve"> spatial adaptation patterns</w:t>
      </w:r>
      <w:bookmarkEnd w:id="34"/>
      <w:bookmarkEnd w:id="35"/>
      <w:bookmarkEnd w:id="36"/>
      <w:bookmarkEnd w:id="37"/>
      <w:bookmarkEnd w:id="38"/>
      <w:bookmarkEnd w:id="39"/>
      <w:bookmarkEnd w:id="40"/>
      <w:bookmarkEnd w:id="41"/>
      <w:bookmarkEnd w:id="42"/>
    </w:p>
    <w:p>
      <w:pPr>
        <w:spacing w:before="120" w:after="120"/>
      </w:pPr>
      <w:r>
        <w:rPr>
          <w:rFonts w:hint="eastAsia"/>
        </w:rPr>
        <w:t xml:space="preserve">For the definition of </w:t>
      </w:r>
      <w:r>
        <w:t>“</w:t>
      </w:r>
      <w:r>
        <w:rPr>
          <w:rFonts w:hint="eastAsia"/>
        </w:rPr>
        <w:t>spatial adaptation patterns</w:t>
      </w:r>
      <w:r>
        <w:t>”</w:t>
      </w:r>
      <w:r>
        <w:rPr>
          <w:rFonts w:hint="eastAsia"/>
        </w:rPr>
        <w:t xml:space="preserve">, the </w:t>
      </w:r>
      <w:r>
        <w:t>factors</w:t>
      </w:r>
      <w:r>
        <w:rPr>
          <w:rFonts w:hint="eastAsia"/>
        </w:rPr>
        <w:t xml:space="preserve"> which will be affect</w:t>
      </w:r>
      <w:r>
        <w:t>ed by</w:t>
      </w:r>
      <w:r>
        <w:rPr>
          <w:rFonts w:hint="eastAsia"/>
        </w:rPr>
        <w:t xml:space="preserve"> spatial element adaptation should be considered. </w:t>
      </w:r>
      <w:r>
        <w:t>It is clear that</w:t>
      </w:r>
      <w:r>
        <w:rPr>
          <w:rFonts w:hint="eastAsia"/>
        </w:rPr>
        <w:t xml:space="preserve"> the information related to the number of CSI-RS ports</w:t>
      </w:r>
      <w:r>
        <w:t xml:space="preserve">, such as </w:t>
      </w:r>
      <w:r>
        <w:rPr>
          <w:rFonts w:hint="eastAsia"/>
        </w:rPr>
        <w:t>port indexes for different port number</w:t>
      </w:r>
      <w:r>
        <w:t>s,</w:t>
      </w:r>
      <w:r>
        <w:rPr>
          <w:rFonts w:hint="eastAsia"/>
        </w:rPr>
        <w:t xml:space="preserve"> </w:t>
      </w:r>
      <w:r>
        <w:t>should</w:t>
      </w:r>
      <w:r>
        <w:rPr>
          <w:rFonts w:hint="eastAsia"/>
        </w:rPr>
        <w:t xml:space="preserve"> be </w:t>
      </w:r>
      <w:r>
        <w:t>comprised in</w:t>
      </w:r>
      <w:r>
        <w:rPr>
          <w:rFonts w:hint="eastAsia"/>
        </w:rPr>
        <w:t xml:space="preserve"> </w:t>
      </w:r>
      <w:r>
        <w:t>“</w:t>
      </w:r>
      <w:r>
        <w:rPr>
          <w:rFonts w:hint="eastAsia"/>
        </w:rPr>
        <w:t>spatial adaptation patterns</w:t>
      </w:r>
      <w:r>
        <w:t>”</w:t>
      </w:r>
      <w:r>
        <w:rPr>
          <w:rFonts w:hint="eastAsia"/>
        </w:rPr>
        <w:t xml:space="preserve">. </w:t>
      </w:r>
      <w:r>
        <w:t xml:space="preserve">Moreover, </w:t>
      </w:r>
      <w:r>
        <w:rPr>
          <w:rFonts w:hint="eastAsia"/>
        </w:rPr>
        <w:t>codebook configuration information</w:t>
      </w:r>
      <w:r>
        <w:t xml:space="preserve">, </w:t>
      </w:r>
      <w:r>
        <w:rPr>
          <w:rFonts w:hint="eastAsia"/>
        </w:rPr>
        <w:t>e.g., different codebook subset restriction</w:t>
      </w:r>
      <w:r>
        <w:t>s</w:t>
      </w:r>
      <w:r>
        <w:rPr>
          <w:rFonts w:hint="eastAsia"/>
        </w:rPr>
        <w:t xml:space="preserve"> for different port numbers</w:t>
      </w:r>
      <w:r>
        <w:t>, also needs to be included</w:t>
      </w:r>
      <w:r>
        <w:rPr>
          <w:rFonts w:hint="eastAsia"/>
        </w:rPr>
        <w:t xml:space="preserve">. </w:t>
      </w:r>
    </w:p>
    <w:p>
      <w:pPr>
        <w:pStyle w:val="31"/>
        <w:spacing w:before="120" w:after="120"/>
        <w:rPr>
          <w:lang w:val="en-US" w:eastAsia="zh-CN"/>
        </w:rPr>
      </w:pPr>
      <w:bookmarkStart w:id="43" w:name="_Toc2522"/>
      <w:bookmarkStart w:id="44" w:name="_Toc29818"/>
      <w:bookmarkStart w:id="45" w:name="_Toc23014"/>
      <w:bookmarkStart w:id="46" w:name="_Toc12989"/>
      <w:bookmarkStart w:id="47" w:name="_Toc30573"/>
      <w:bookmarkStart w:id="48" w:name="_Toc272"/>
      <w:bookmarkStart w:id="49" w:name="_Toc17260"/>
      <w:bookmarkStart w:id="50" w:name="_Toc131790358"/>
      <w:r>
        <w:rPr>
          <w:rFonts w:hint="eastAsia"/>
          <w:lang w:val="en-US" w:eastAsia="zh-CN"/>
        </w:rPr>
        <w:t xml:space="preserve">The following can be considered </w:t>
      </w:r>
      <w:r>
        <w:rPr>
          <w:lang w:val="en-US" w:eastAsia="zh-CN"/>
        </w:rPr>
        <w:t>to define “spatial adaptation pattern”</w:t>
      </w:r>
      <w:bookmarkEnd w:id="43"/>
      <w:bookmarkEnd w:id="44"/>
      <w:bookmarkEnd w:id="45"/>
      <w:bookmarkEnd w:id="46"/>
      <w:bookmarkEnd w:id="47"/>
      <w:bookmarkEnd w:id="48"/>
      <w:bookmarkEnd w:id="49"/>
      <w:bookmarkEnd w:id="50"/>
    </w:p>
    <w:p>
      <w:pPr>
        <w:pStyle w:val="31"/>
        <w:numPr>
          <w:ilvl w:val="1"/>
          <w:numId w:val="3"/>
        </w:numPr>
        <w:spacing w:before="120" w:after="120"/>
        <w:ind w:left="420"/>
        <w:rPr>
          <w:lang w:val="en-US" w:eastAsia="zh-CN"/>
        </w:rPr>
      </w:pPr>
      <w:bookmarkStart w:id="51" w:name="_Toc28010"/>
      <w:bookmarkStart w:id="52" w:name="_Toc31659"/>
      <w:bookmarkStart w:id="53" w:name="_Toc10087"/>
      <w:bookmarkStart w:id="54" w:name="_Toc8541"/>
      <w:bookmarkStart w:id="55" w:name="_Toc27904"/>
      <w:bookmarkStart w:id="56" w:name="_Toc19072"/>
      <w:bookmarkStart w:id="57" w:name="_Toc29605"/>
      <w:bookmarkStart w:id="58" w:name="_Toc131790359"/>
      <w:r>
        <w:rPr>
          <w:lang w:val="en-US" w:eastAsia="zh-CN"/>
        </w:rPr>
        <w:t>C</w:t>
      </w:r>
      <w:r>
        <w:rPr>
          <w:rFonts w:hint="eastAsia"/>
          <w:lang w:val="en-US" w:eastAsia="zh-CN"/>
        </w:rPr>
        <w:t>odebook configuration,</w:t>
      </w:r>
      <w:bookmarkEnd w:id="51"/>
      <w:bookmarkEnd w:id="52"/>
      <w:bookmarkEnd w:id="53"/>
      <w:bookmarkEnd w:id="54"/>
      <w:bookmarkEnd w:id="55"/>
      <w:bookmarkEnd w:id="56"/>
      <w:bookmarkEnd w:id="57"/>
      <w:bookmarkEnd w:id="58"/>
    </w:p>
    <w:p>
      <w:pPr>
        <w:pStyle w:val="31"/>
        <w:numPr>
          <w:ilvl w:val="1"/>
          <w:numId w:val="3"/>
        </w:numPr>
        <w:spacing w:before="120" w:after="120"/>
        <w:ind w:left="420"/>
        <w:rPr>
          <w:lang w:val="en-US" w:eastAsia="zh-CN"/>
        </w:rPr>
      </w:pPr>
      <w:bookmarkStart w:id="59" w:name="_Toc15067"/>
      <w:bookmarkStart w:id="60" w:name="_Toc20907"/>
      <w:bookmarkStart w:id="61" w:name="_Toc5021"/>
      <w:bookmarkStart w:id="62" w:name="_Toc131790360"/>
      <w:bookmarkStart w:id="63" w:name="_Toc19935"/>
      <w:bookmarkStart w:id="64" w:name="_Toc9139"/>
      <w:bookmarkStart w:id="65" w:name="_Toc17031"/>
      <w:bookmarkStart w:id="66" w:name="_Toc4777"/>
      <w:r>
        <w:rPr>
          <w:lang w:val="en-US" w:eastAsia="zh-CN"/>
        </w:rPr>
        <w:t>P</w:t>
      </w:r>
      <w:r>
        <w:rPr>
          <w:rFonts w:hint="eastAsia"/>
          <w:lang w:val="en-US" w:eastAsia="zh-CN"/>
        </w:rPr>
        <w:t>ort indication for CSI with different number of ports.</w:t>
      </w:r>
      <w:bookmarkEnd w:id="59"/>
      <w:bookmarkEnd w:id="60"/>
      <w:bookmarkEnd w:id="61"/>
      <w:bookmarkEnd w:id="62"/>
      <w:bookmarkEnd w:id="63"/>
      <w:bookmarkEnd w:id="64"/>
      <w:bookmarkEnd w:id="65"/>
      <w:bookmarkEnd w:id="66"/>
    </w:p>
    <w:p>
      <w:pPr>
        <w:spacing w:before="120" w:after="120"/>
      </w:pPr>
      <w:r>
        <w:t>It is noted that t</w:t>
      </w:r>
      <w:r>
        <w:rPr>
          <w:rFonts w:hint="eastAsia"/>
        </w:rPr>
        <w:t xml:space="preserve">he CSI-RS resource/resource set/resource setting is configured by RRC signaling, if multiple spatial adaptation patterns are configured and the corresponding CSI report is activated, UE </w:t>
      </w:r>
      <w:r>
        <w:t xml:space="preserve">always </w:t>
      </w:r>
      <w:r>
        <w:rPr>
          <w:rFonts w:hint="eastAsia"/>
        </w:rPr>
        <w:t>needs to report multiple CSI reports regardless of channel quality</w:t>
      </w:r>
      <w:r>
        <w:t xml:space="preserve"> and data traffic</w:t>
      </w:r>
      <w:r>
        <w:rPr>
          <w:rFonts w:hint="eastAsia"/>
        </w:rPr>
        <w:t>. In some cases, the required CSI reports can be different in different time</w:t>
      </w:r>
      <w:r>
        <w:t xml:space="preserve"> pe</w:t>
      </w:r>
      <w:r>
        <w:rPr>
          <w:rFonts w:hint="eastAsia"/>
        </w:rPr>
        <w:t>r</w:t>
      </w:r>
      <w:r>
        <w:t>iod</w:t>
      </w:r>
      <w:r>
        <w:rPr>
          <w:rFonts w:hint="eastAsia"/>
        </w:rPr>
        <w:t xml:space="preserve">, and semi static configuration </w:t>
      </w:r>
      <w:r>
        <w:t xml:space="preserve">may </w:t>
      </w:r>
      <w:r>
        <w:rPr>
          <w:rFonts w:hint="eastAsia"/>
        </w:rPr>
        <w:t xml:space="preserve">not satisfy the requirement in time. </w:t>
      </w:r>
    </w:p>
    <w:p>
      <w:pPr>
        <w:spacing w:before="120" w:after="120"/>
      </w:pPr>
      <w:r>
        <w:rPr>
          <w:rFonts w:hint="eastAsia"/>
        </w:rPr>
        <w:t>To better adapt channel states and reduce reporting, dynamic indicat</w:t>
      </w:r>
      <w:r>
        <w:t>ion of</w:t>
      </w:r>
      <w:r>
        <w:rPr>
          <w:rFonts w:hint="eastAsia"/>
        </w:rPr>
        <w:t xml:space="preserve"> which CSIs need to be reported can be considered. Since each CSI is associated with a spatial adaptation pattern, the indication can be spatial adaptation pattern </w:t>
      </w:r>
      <w:r>
        <w:t>information</w:t>
      </w:r>
      <w:r>
        <w:rPr>
          <w:rFonts w:hint="eastAsia"/>
        </w:rPr>
        <w:t>. The indication from gNB can be L1 signaling</w:t>
      </w:r>
      <w:r>
        <w:t xml:space="preserve"> </w:t>
      </w:r>
      <w:r>
        <w:rPr>
          <w:rFonts w:hint="eastAsia"/>
        </w:rPr>
        <w:t>(e.g., a group common DCI).</w:t>
      </w:r>
      <w:r>
        <w:t xml:space="preserve"> Moreover, since multi-CSI provides more NES gain, the indicated </w:t>
      </w:r>
      <w:r>
        <w:rPr>
          <w:rFonts w:hint="eastAsia"/>
        </w:rPr>
        <w:t xml:space="preserve">spatial adaptation pattern </w:t>
      </w:r>
      <w:r>
        <w:t xml:space="preserve">information should convey information of one or multiple </w:t>
      </w:r>
      <w:r>
        <w:rPr>
          <w:rFonts w:hint="eastAsia"/>
        </w:rPr>
        <w:t>spatial adaptation pattern</w:t>
      </w:r>
      <w:r>
        <w:t>s to support multi-CSI when needed.</w:t>
      </w:r>
    </w:p>
    <w:p>
      <w:pPr>
        <w:pStyle w:val="30"/>
        <w:spacing w:before="120" w:after="120"/>
        <w:rPr>
          <w:lang w:val="en-US" w:eastAsia="zh-CN"/>
        </w:rPr>
      </w:pPr>
      <w:bookmarkStart w:id="67" w:name="_Toc22554"/>
      <w:bookmarkStart w:id="68" w:name="_Toc17828"/>
      <w:bookmarkStart w:id="69" w:name="_Toc13394"/>
      <w:r>
        <w:rPr>
          <w:rFonts w:hint="eastAsia"/>
        </w:rPr>
        <w:t>The required CSI reports can be different in different time</w:t>
      </w:r>
      <w:r>
        <w:t xml:space="preserve"> period</w:t>
      </w:r>
      <w:r>
        <w:rPr>
          <w:rFonts w:hint="eastAsia"/>
          <w:lang w:val="en-US" w:eastAsia="zh-CN"/>
        </w:rPr>
        <w:t>s</w:t>
      </w:r>
      <w:r>
        <w:rPr>
          <w:rFonts w:hint="eastAsia"/>
        </w:rPr>
        <w:t xml:space="preserve">, and semi static configuration </w:t>
      </w:r>
      <w:r>
        <w:t>may not</w:t>
      </w:r>
      <w:r>
        <w:rPr>
          <w:rFonts w:hint="eastAsia"/>
        </w:rPr>
        <w:t xml:space="preserve"> satisfy the requirement</w:t>
      </w:r>
      <w:r>
        <w:rPr>
          <w:rFonts w:hint="eastAsia"/>
          <w:lang w:val="en-US" w:eastAsia="zh-CN"/>
        </w:rPr>
        <w:t>s</w:t>
      </w:r>
      <w:r>
        <w:rPr>
          <w:rFonts w:hint="eastAsia"/>
        </w:rPr>
        <w:t xml:space="preserve"> in time</w:t>
      </w:r>
      <w:r>
        <w:t>.</w:t>
      </w:r>
      <w:bookmarkEnd w:id="67"/>
      <w:bookmarkEnd w:id="68"/>
      <w:bookmarkEnd w:id="69"/>
    </w:p>
    <w:p>
      <w:pPr>
        <w:pStyle w:val="31"/>
        <w:spacing w:before="120" w:after="120"/>
        <w:rPr>
          <w:lang w:val="en-US" w:eastAsia="zh-CN"/>
        </w:rPr>
      </w:pPr>
      <w:bookmarkStart w:id="70" w:name="_Toc131790361"/>
      <w:bookmarkStart w:id="71" w:name="_Toc216"/>
      <w:bookmarkStart w:id="72" w:name="_Toc25658"/>
      <w:bookmarkStart w:id="73" w:name="_Toc22366"/>
      <w:bookmarkStart w:id="74" w:name="_Toc12166"/>
      <w:bookmarkStart w:id="75" w:name="_Toc3251"/>
      <w:bookmarkStart w:id="76" w:name="_Toc17901"/>
      <w:bookmarkStart w:id="77" w:name="_Toc26351"/>
      <w:r>
        <w:rPr>
          <w:rFonts w:hint="eastAsia"/>
          <w:lang w:val="en-US" w:eastAsia="zh-CN"/>
        </w:rPr>
        <w:t xml:space="preserve">To better adapt </w:t>
      </w:r>
      <w:r>
        <w:rPr>
          <w:lang w:val="en-US" w:eastAsia="zh-CN"/>
        </w:rPr>
        <w:t>to</w:t>
      </w:r>
      <w:r>
        <w:rPr>
          <w:rFonts w:hint="eastAsia"/>
          <w:lang w:val="en-US" w:eastAsia="zh-CN"/>
        </w:rPr>
        <w:t xml:space="preserve"> </w:t>
      </w:r>
      <w:r>
        <w:rPr>
          <w:lang w:val="en-US" w:eastAsia="zh-CN"/>
        </w:rPr>
        <w:t>CSI</w:t>
      </w:r>
      <w:r>
        <w:rPr>
          <w:rFonts w:hint="eastAsia"/>
          <w:lang w:val="en-US" w:eastAsia="zh-CN"/>
        </w:rPr>
        <w:t xml:space="preserve"> reporting</w:t>
      </w:r>
      <w:r>
        <w:rPr>
          <w:lang w:val="en-US" w:eastAsia="zh-CN"/>
        </w:rPr>
        <w:t xml:space="preserve"> requirements</w:t>
      </w:r>
      <w:r>
        <w:rPr>
          <w:rFonts w:hint="eastAsia"/>
          <w:lang w:val="en-US" w:eastAsia="zh-CN"/>
        </w:rPr>
        <w:t>, dynamic indicat</w:t>
      </w:r>
      <w:r>
        <w:rPr>
          <w:lang w:val="en-US" w:eastAsia="zh-CN"/>
        </w:rPr>
        <w:t>ion of</w:t>
      </w:r>
      <w:r>
        <w:rPr>
          <w:rFonts w:hint="eastAsia"/>
          <w:lang w:val="en-US" w:eastAsia="zh-CN"/>
        </w:rPr>
        <w:t xml:space="preserve"> one or more CSIs can be considered</w:t>
      </w:r>
      <w:r>
        <w:rPr>
          <w:lang w:val="en-US" w:eastAsia="zh-CN"/>
        </w:rPr>
        <w:t xml:space="preserve">, where the dynamic indication should convey </w:t>
      </w:r>
      <w:r>
        <w:t xml:space="preserve">information for one or multiple </w:t>
      </w:r>
      <w:r>
        <w:rPr>
          <w:rFonts w:hint="eastAsia"/>
        </w:rPr>
        <w:t>spatial adaptation pattern</w:t>
      </w:r>
      <w:r>
        <w:t>s to support multi-CSI</w:t>
      </w:r>
      <w:r>
        <w:rPr>
          <w:rFonts w:hint="eastAsia"/>
          <w:lang w:val="en-US" w:eastAsia="zh-CN"/>
        </w:rPr>
        <w:t>s.</w:t>
      </w:r>
      <w:bookmarkEnd w:id="70"/>
    </w:p>
    <w:bookmarkEnd w:id="71"/>
    <w:bookmarkEnd w:id="72"/>
    <w:bookmarkEnd w:id="73"/>
    <w:bookmarkEnd w:id="74"/>
    <w:bookmarkEnd w:id="75"/>
    <w:bookmarkEnd w:id="76"/>
    <w:bookmarkEnd w:id="77"/>
    <w:p>
      <w:pPr>
        <w:tabs>
          <w:tab w:val="left" w:pos="0"/>
          <w:tab w:val="left" w:pos="420"/>
          <w:tab w:val="left" w:pos="4820"/>
        </w:tabs>
        <w:spacing w:before="120" w:after="120"/>
      </w:pPr>
      <w:bookmarkStart w:id="78" w:name="_Toc4199"/>
      <w:bookmarkEnd w:id="78"/>
    </w:p>
    <w:p>
      <w:pPr>
        <w:pStyle w:val="2"/>
        <w:numPr>
          <w:ilvl w:val="0"/>
          <w:numId w:val="9"/>
        </w:numPr>
        <w:spacing w:before="120" w:after="120"/>
        <w:rPr>
          <w:rFonts w:ascii="Times New Roman" w:hAnsi="Times New Roman" w:eastAsia="宋体"/>
          <w:b/>
          <w:bCs/>
          <w:sz w:val="28"/>
          <w:szCs w:val="28"/>
        </w:rPr>
      </w:pPr>
      <w:r>
        <w:rPr>
          <w:rFonts w:hint="eastAsia" w:ascii="Times New Roman" w:hAnsi="Times New Roman" w:eastAsia="宋体"/>
          <w:b/>
          <w:bCs/>
          <w:sz w:val="28"/>
          <w:szCs w:val="28"/>
        </w:rPr>
        <w:t>Consideration of UL overhead reduction</w:t>
      </w:r>
    </w:p>
    <w:p>
      <w:pPr>
        <w:spacing w:before="120" w:after="120"/>
      </w:pPr>
      <w:r>
        <w:rPr>
          <w:rFonts w:hint="eastAsia"/>
        </w:rPr>
        <w:t>If UE needs to report multiple CSIs</w:t>
      </w:r>
      <w:r>
        <w:t xml:space="preserve"> for NES</w:t>
      </w:r>
      <w:r>
        <w:rPr>
          <w:rFonts w:hint="eastAsia"/>
        </w:rPr>
        <w:t>, the UL overhead will increase</w:t>
      </w:r>
      <w:r>
        <w:t xml:space="preserve"> accordingly</w:t>
      </w:r>
      <w:r>
        <w:rPr>
          <w:rFonts w:hint="eastAsia"/>
        </w:rPr>
        <w:t>. Therefore, the method to reduce the UL overhead of CSI reports should be studied.</w:t>
      </w:r>
    </w:p>
    <w:p>
      <w:pPr>
        <w:pStyle w:val="3"/>
        <w:numPr>
          <w:ilvl w:val="1"/>
          <w:numId w:val="9"/>
        </w:numPr>
        <w:spacing w:before="120" w:after="120"/>
        <w:ind w:right="210"/>
        <w:rPr>
          <w:rFonts w:ascii="Times New Roman" w:hAnsi="Times New Roman"/>
          <w:b/>
          <w:bCs/>
          <w:sz w:val="21"/>
          <w:szCs w:val="21"/>
        </w:rPr>
      </w:pPr>
      <w:r>
        <w:rPr>
          <w:rFonts w:hint="eastAsia" w:ascii="Times New Roman" w:hAnsi="Times New Roman"/>
          <w:b/>
          <w:bCs/>
          <w:sz w:val="21"/>
          <w:szCs w:val="21"/>
        </w:rPr>
        <w:t>PMI</w:t>
      </w:r>
    </w:p>
    <w:p>
      <w:pPr>
        <w:spacing w:before="120" w:after="120"/>
      </w:pPr>
      <w:r>
        <w:rPr>
          <w:rFonts w:hint="eastAsia"/>
        </w:rPr>
        <w:t xml:space="preserve">The </w:t>
      </w:r>
      <w:r>
        <w:t>payload</w:t>
      </w:r>
      <w:r>
        <w:rPr>
          <w:rFonts w:hint="eastAsia"/>
        </w:rPr>
        <w:t xml:space="preserve"> of PMI is shown in Table 1. </w:t>
      </w:r>
      <w:r>
        <w:t>It can be seen that t</w:t>
      </w:r>
      <w:r>
        <w:rPr>
          <w:rFonts w:hint="eastAsia"/>
        </w:rPr>
        <w:t xml:space="preserve">he overhead of PMI is </w:t>
      </w:r>
      <w:r>
        <w:t>determined by</w:t>
      </w:r>
      <w:r>
        <w:rPr>
          <w:rFonts w:hint="eastAsia"/>
        </w:rPr>
        <w:t xml:space="preserve"> N1,</w:t>
      </w:r>
      <w:r>
        <w:t xml:space="preserve"> </w:t>
      </w:r>
      <w:r>
        <w:rPr>
          <w:rFonts w:hint="eastAsia"/>
        </w:rPr>
        <w:t>N2,</w:t>
      </w:r>
      <w:r>
        <w:t xml:space="preserve"> </w:t>
      </w:r>
      <w:r>
        <w:rPr>
          <w:rFonts w:hint="eastAsia"/>
        </w:rPr>
        <w:t>O1,</w:t>
      </w:r>
      <w:r>
        <w:t xml:space="preserve"> </w:t>
      </w:r>
      <w:r>
        <w:rPr>
          <w:rFonts w:hint="eastAsia"/>
        </w:rPr>
        <w:t>O2 and the number of subband</w:t>
      </w:r>
      <w:r>
        <w:t xml:space="preserve">s. </w:t>
      </w:r>
      <w:r>
        <w:rPr>
          <w:rFonts w:hint="eastAsia"/>
        </w:rPr>
        <w:t>For example, when UE needs to report CSIs of 32 ports, 24 ports and 16 ports with rank = 3</w:t>
      </w:r>
      <w:r>
        <w:t>, where</w:t>
      </w:r>
      <w:r>
        <w:rPr>
          <w:rFonts w:hint="eastAsia"/>
        </w:rPr>
        <w:t xml:space="preserve"> (N1,</w:t>
      </w:r>
      <w:r>
        <w:t xml:space="preserve"> </w:t>
      </w:r>
      <w:r>
        <w:rPr>
          <w:rFonts w:hint="eastAsia"/>
        </w:rPr>
        <w:t>N2)</w:t>
      </w:r>
      <w:r>
        <w:t xml:space="preserve"> </w:t>
      </w:r>
      <w:r>
        <w:rPr>
          <w:rFonts w:hint="eastAsia"/>
        </w:rPr>
        <w:t>=</w:t>
      </w:r>
      <w:r>
        <w:t xml:space="preserve"> </w:t>
      </w:r>
      <w:r>
        <w:rPr>
          <w:rFonts w:hint="eastAsia"/>
        </w:rPr>
        <w:t>(8,2) for 32 ports, (N1,</w:t>
      </w:r>
      <w:r>
        <w:t xml:space="preserve"> </w:t>
      </w:r>
      <w:r>
        <w:rPr>
          <w:rFonts w:hint="eastAsia"/>
        </w:rPr>
        <w:t>N2)</w:t>
      </w:r>
      <w:r>
        <w:t xml:space="preserve"> </w:t>
      </w:r>
      <w:r>
        <w:rPr>
          <w:rFonts w:hint="eastAsia"/>
        </w:rPr>
        <w:t>=</w:t>
      </w:r>
      <w:r>
        <w:t xml:space="preserve"> </w:t>
      </w:r>
      <w:r>
        <w:rPr>
          <w:rFonts w:hint="eastAsia"/>
        </w:rPr>
        <w:t xml:space="preserve">(6,2) for 24 ports, (N1,N2)=(8,1) for 16 ports, codebookMode = 1, no subband PMI. The total </w:t>
      </w:r>
      <w:r>
        <w:t xml:space="preserve">payload of </w:t>
      </w:r>
      <w:r>
        <w:rPr>
          <w:rFonts w:hint="eastAsia"/>
        </w:rPr>
        <w:t xml:space="preserve">PMI </w:t>
      </w:r>
      <w:r>
        <w:t>is</w:t>
      </w:r>
      <w:r>
        <w:rPr>
          <w:rFonts w:hint="eastAsia"/>
        </w:rPr>
        <w:t xml:space="preserve"> 10 + 10 + 8 = 28 bits. If subband PMI </w:t>
      </w:r>
      <w:r>
        <w:t xml:space="preserve">also </w:t>
      </w:r>
      <w:r>
        <w:rPr>
          <w:rFonts w:hint="eastAsia"/>
        </w:rPr>
        <w:t>need</w:t>
      </w:r>
      <w:r>
        <w:t>s</w:t>
      </w:r>
      <w:r>
        <w:rPr>
          <w:rFonts w:hint="eastAsia"/>
        </w:rPr>
        <w:t xml:space="preserve"> to be reported, the overhead of PMIs can be</w:t>
      </w:r>
      <w:r>
        <w:t xml:space="preserve"> even</w:t>
      </w:r>
      <w:r>
        <w:rPr>
          <w:rFonts w:hint="eastAsia"/>
        </w:rPr>
        <w:t xml:space="preserve"> larger.</w:t>
      </w:r>
    </w:p>
    <w:p>
      <w:pPr>
        <w:spacing w:before="120" w:after="120"/>
        <w:jc w:val="center"/>
        <w:rPr>
          <w:b/>
          <w:bCs/>
        </w:rPr>
      </w:pPr>
      <w:r>
        <w:rPr>
          <w:rFonts w:hint="eastAsia"/>
          <w:b/>
          <w:bCs/>
        </w:rPr>
        <w:t xml:space="preserve">Table 1 PMI of </w:t>
      </w:r>
      <w:r>
        <w:rPr>
          <w:b/>
          <w:bCs/>
          <w:i/>
        </w:rPr>
        <w:t>codebookType</w:t>
      </w:r>
      <w:r>
        <w:rPr>
          <w:rFonts w:hint="eastAsia"/>
          <w:b/>
          <w:bCs/>
          <w:i/>
        </w:rPr>
        <w:t>=</w:t>
      </w:r>
      <w:r>
        <w:rPr>
          <w:b/>
          <w:bCs/>
          <w:i/>
        </w:rPr>
        <w:t>typeI-SinglePanel</w:t>
      </w:r>
    </w:p>
    <w:tbl>
      <w:tblPr>
        <w:tblStyle w:val="18"/>
        <w:tblW w:w="96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5"/>
        <w:gridCol w:w="1867"/>
        <w:gridCol w:w="2025"/>
        <w:gridCol w:w="653"/>
        <w:gridCol w:w="1723"/>
        <w:gridCol w:w="17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Merge w:val="restart"/>
            <w:shd w:val="clear" w:color="auto" w:fill="D9D9D9"/>
            <w:vAlign w:val="center"/>
          </w:tcPr>
          <w:p>
            <w:pPr>
              <w:spacing w:before="120" w:after="120"/>
              <w:jc w:val="center"/>
            </w:pPr>
            <w:bookmarkStart w:id="79" w:name="MCCQCTEMPBM_00000405"/>
          </w:p>
        </w:tc>
        <w:tc>
          <w:tcPr>
            <w:tcW w:w="4545" w:type="dxa"/>
            <w:gridSpan w:val="3"/>
            <w:shd w:val="clear" w:color="auto" w:fill="D9D9D9"/>
            <w:vAlign w:val="center"/>
          </w:tcPr>
          <w:p>
            <w:pPr>
              <w:spacing w:before="120" w:after="120"/>
              <w:jc w:val="center"/>
            </w:pPr>
            <w:r>
              <w:rPr>
                <w:rFonts w:hint="eastAsia"/>
              </w:rPr>
              <w:t xml:space="preserve">Information field </w:t>
            </w:r>
            <w:r>
              <w:rPr>
                <w:position w:val="-10"/>
              </w:rPr>
              <w:object>
                <v:shape id="_x0000_i1025" o:spt="75" type="#_x0000_t75" style="height:17.75pt;width:16.1pt;" o:ole="t" filled="f" o:preferrelative="t" stroked="f" coordsize="21600,21600">
                  <v:path/>
                  <v:fill on="f" focussize="0,0"/>
                  <v:stroke on="f" joinstyle="miter"/>
                  <v:imagedata r:id="rId12" o:title=""/>
                  <o:lock v:ext="edit" aspectratio="t"/>
                  <w10:wrap type="none"/>
                  <w10:anchorlock/>
                </v:shape>
                <o:OLEObject Type="Embed" ProgID="Equation.3" ShapeID="_x0000_i1025" DrawAspect="Content" ObjectID="_1468075725" r:id="rId11">
                  <o:LockedField>false</o:LockedField>
                </o:OLEObject>
              </w:object>
            </w:r>
            <w:r>
              <w:rPr>
                <w:rFonts w:hint="eastAsia"/>
              </w:rPr>
              <w:t xml:space="preserve"> for wideband PMI</w:t>
            </w:r>
          </w:p>
        </w:tc>
        <w:tc>
          <w:tcPr>
            <w:tcW w:w="3462" w:type="dxa"/>
            <w:gridSpan w:val="2"/>
            <w:shd w:val="clear" w:color="auto" w:fill="D9D9D9"/>
            <w:vAlign w:val="center"/>
          </w:tcPr>
          <w:p>
            <w:pPr>
              <w:spacing w:before="120" w:after="120"/>
              <w:jc w:val="center"/>
              <w:rPr>
                <w:rFonts w:cs="Arial"/>
              </w:rPr>
            </w:pPr>
            <w:r>
              <w:rPr>
                <w:rFonts w:hint="eastAsia"/>
              </w:rPr>
              <w:t xml:space="preserve">Information field </w:t>
            </w:r>
            <w:r>
              <w:rPr>
                <w:position w:val="-10"/>
              </w:rPr>
              <w:object>
                <v:shape id="_x0000_i1026" o:spt="75" type="#_x0000_t75" style="height:18pt;width:18pt;" o:ole="t" filled="f" o:preferrelative="t" stroked="f" coordsize="21600,21600">
                  <v:path/>
                  <v:fill on="f" focussize="0,0"/>
                  <v:stroke on="f" joinstyle="miter"/>
                  <v:imagedata r:id="rId14" o:title=""/>
                  <o:lock v:ext="edit" aspectratio="t"/>
                  <w10:wrap type="none"/>
                  <w10:anchorlock/>
                </v:shape>
                <o:OLEObject Type="Embed" ProgID="Equation.3" ShapeID="_x0000_i1026" DrawAspect="Content" ObjectID="_1468075726" r:id="rId13">
                  <o:LockedField>false</o:LockedField>
                </o:OLEObject>
              </w:object>
            </w:r>
            <w:r>
              <w:rPr>
                <w:rFonts w:hint="eastAsia"/>
              </w:rPr>
              <w:t xml:space="preserve"> for wideband PMI</w:t>
            </w:r>
            <w:r>
              <w:br w:type="textWrapping"/>
            </w:r>
            <w:r>
              <w:rPr>
                <w:rFonts w:hint="eastAsia"/>
              </w:rPr>
              <w:t>or per subband PMI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95" w:type="dxa"/>
            <w:vMerge w:val="continue"/>
            <w:shd w:val="clear" w:color="auto" w:fill="D9D9D9"/>
            <w:vAlign w:val="center"/>
          </w:tcPr>
          <w:p>
            <w:pPr>
              <w:spacing w:before="120" w:after="120"/>
              <w:jc w:val="center"/>
            </w:pPr>
          </w:p>
        </w:tc>
        <w:tc>
          <w:tcPr>
            <w:tcW w:w="3892" w:type="dxa"/>
            <w:gridSpan w:val="2"/>
            <w:shd w:val="clear" w:color="auto" w:fill="D9D9D9"/>
            <w:vAlign w:val="center"/>
          </w:tcPr>
          <w:p>
            <w:pPr>
              <w:spacing w:before="120" w:after="120"/>
              <w:jc w:val="center"/>
            </w:pPr>
            <w:r>
              <w:rPr>
                <w:rFonts w:hint="eastAsia"/>
              </w:rPr>
              <w:t>(</w:t>
            </w:r>
            <w:r>
              <w:rPr>
                <w:position w:val="-12"/>
              </w:rPr>
              <w:object>
                <v:shape id="_x0000_i1027" o:spt="75" type="#_x0000_t75" style="height:16.35pt;width:12.55pt;" o:ole="t" filled="f" o:preferrelative="t" stroked="f" coordsize="21600,21600">
                  <v:path/>
                  <v:fill on="f" focussize="0,0"/>
                  <v:stroke on="f" joinstyle="miter"/>
                  <v:imagedata r:id="rId16" o:title=""/>
                  <o:lock v:ext="edit" aspectratio="t"/>
                  <w10:wrap type="none"/>
                  <w10:anchorlock/>
                </v:shape>
                <o:OLEObject Type="Embed" ProgID="Equation.3" ShapeID="_x0000_i1027" DrawAspect="Content" ObjectID="_1468075727" r:id="rId15">
                  <o:LockedField>false</o:LockedField>
                </o:OLEObject>
              </w:object>
            </w:r>
            <w:r>
              <w:rPr>
                <w:rFonts w:hint="eastAsia"/>
              </w:rPr>
              <w:t>,</w:t>
            </w:r>
            <w:r>
              <w:rPr>
                <w:position w:val="-12"/>
              </w:rPr>
              <w:object>
                <v:shape id="_x0000_i1028" o:spt="75" type="#_x0000_t75" style="height:16.35pt;width:15.8pt;" o:ole="t" filled="f" o:preferrelative="t" stroked="f" coordsize="21600,21600">
                  <v:path/>
                  <v:fill on="f" focussize="0,0"/>
                  <v:stroke on="f" joinstyle="miter"/>
                  <v:imagedata r:id="rId18" o:title=""/>
                  <o:lock v:ext="edit" aspectratio="t"/>
                  <w10:wrap type="none"/>
                  <w10:anchorlock/>
                </v:shape>
                <o:OLEObject Type="Embed" ProgID="Equation.3" ShapeID="_x0000_i1028" DrawAspect="Content" ObjectID="_1468075728" r:id="rId17">
                  <o:LockedField>false</o:LockedField>
                </o:OLEObject>
              </w:object>
            </w:r>
            <w:r>
              <w:rPr>
                <w:rFonts w:hint="eastAsia"/>
              </w:rPr>
              <w:t>)</w:t>
            </w:r>
          </w:p>
        </w:tc>
        <w:tc>
          <w:tcPr>
            <w:tcW w:w="653" w:type="dxa"/>
            <w:vMerge w:val="restart"/>
            <w:shd w:val="clear" w:color="auto" w:fill="D9D9D9"/>
            <w:vAlign w:val="center"/>
          </w:tcPr>
          <w:p>
            <w:pPr>
              <w:spacing w:before="120" w:after="120"/>
              <w:jc w:val="center"/>
              <w:rPr>
                <w:rFonts w:cs="Arial"/>
              </w:rPr>
            </w:pPr>
            <w:r>
              <w:rPr>
                <w:position w:val="-12"/>
              </w:rPr>
              <w:object>
                <v:shape id="_x0000_i1029" o:spt="75" type="#_x0000_t75" style="height:16.35pt;width:14.2pt;" o:ole="t" filled="f" o:preferrelative="t" stroked="f" coordsize="21600,21600">
                  <v:path/>
                  <v:fill on="f" focussize="0,0"/>
                  <v:stroke on="f" joinstyle="miter"/>
                  <v:imagedata r:id="rId20" o:title=""/>
                  <o:lock v:ext="edit" aspectratio="t"/>
                  <w10:wrap type="none"/>
                  <w10:anchorlock/>
                </v:shape>
                <o:OLEObject Type="Embed" ProgID="Equation.DSMT4" ShapeID="_x0000_i1029" DrawAspect="Content" ObjectID="_1468075729" r:id="rId19">
                  <o:LockedField>false</o:LockedField>
                </o:OLEObject>
              </w:object>
            </w:r>
          </w:p>
        </w:tc>
        <w:tc>
          <w:tcPr>
            <w:tcW w:w="3462" w:type="dxa"/>
            <w:gridSpan w:val="2"/>
            <w:shd w:val="clear" w:color="auto" w:fill="D9D9D9"/>
            <w:vAlign w:val="center"/>
          </w:tcPr>
          <w:p>
            <w:pPr>
              <w:spacing w:before="120" w:after="120"/>
              <w:jc w:val="center"/>
            </w:pPr>
            <w:r>
              <w:rPr>
                <w:rFonts w:cs="Arial"/>
                <w:position w:val="-10"/>
              </w:rPr>
              <w:object>
                <v:shape id="_x0000_i1030" o:spt="75" type="#_x0000_t75" style="height:15.8pt;width:10.35pt;" o:ole="t" filled="f" o:preferrelative="t" stroked="f" coordsize="21600,21600">
                  <v:path/>
                  <v:fill on="f" focussize="0,0"/>
                  <v:stroke on="f" joinstyle="miter"/>
                  <v:imagedata r:id="rId22" o:title=""/>
                  <o:lock v:ext="edit" aspectratio="t"/>
                  <w10:wrap type="none"/>
                  <w10:anchorlock/>
                </v:shape>
                <o:OLEObject Type="Embed" ProgID="Equation.DSMT4" ShapeID="_x0000_i1030" DrawAspect="Content" ObjectID="_1468075730" r:id="rId21">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95" w:type="dxa"/>
            <w:vMerge w:val="continue"/>
            <w:shd w:val="clear" w:color="auto" w:fill="D9D9D9"/>
            <w:vAlign w:val="center"/>
          </w:tcPr>
          <w:p>
            <w:pPr>
              <w:spacing w:before="120" w:after="120"/>
              <w:jc w:val="center"/>
            </w:pPr>
          </w:p>
        </w:tc>
        <w:tc>
          <w:tcPr>
            <w:tcW w:w="1867" w:type="dxa"/>
            <w:shd w:val="clear" w:color="auto" w:fill="D9D9D9"/>
            <w:vAlign w:val="center"/>
          </w:tcPr>
          <w:p>
            <w:pPr>
              <w:spacing w:before="120" w:after="120"/>
              <w:jc w:val="center"/>
            </w:pPr>
            <w:r>
              <w:rPr>
                <w:rFonts w:hint="eastAsia" w:cs="Arial"/>
                <w:i/>
              </w:rPr>
              <w:t>codebookMode</w:t>
            </w:r>
            <w:r>
              <w:rPr>
                <w:rFonts w:hint="eastAsia" w:cs="Arial"/>
              </w:rPr>
              <w:t>=1</w:t>
            </w:r>
          </w:p>
        </w:tc>
        <w:tc>
          <w:tcPr>
            <w:tcW w:w="2025" w:type="dxa"/>
            <w:shd w:val="clear" w:color="auto" w:fill="D9D9D9"/>
            <w:vAlign w:val="center"/>
          </w:tcPr>
          <w:p>
            <w:pPr>
              <w:spacing w:before="120" w:after="120"/>
              <w:jc w:val="center"/>
            </w:pPr>
            <w:r>
              <w:rPr>
                <w:rFonts w:hint="eastAsia" w:cs="Arial"/>
                <w:i/>
              </w:rPr>
              <w:t>codebookMode</w:t>
            </w:r>
            <w:r>
              <w:rPr>
                <w:rFonts w:hint="eastAsia" w:cs="Arial"/>
              </w:rPr>
              <w:t>=2</w:t>
            </w:r>
          </w:p>
        </w:tc>
        <w:tc>
          <w:tcPr>
            <w:tcW w:w="653" w:type="dxa"/>
            <w:vMerge w:val="continue"/>
            <w:shd w:val="clear" w:color="auto" w:fill="D9D9D9"/>
            <w:vAlign w:val="center"/>
          </w:tcPr>
          <w:p>
            <w:pPr>
              <w:spacing w:before="120" w:after="120"/>
              <w:jc w:val="center"/>
            </w:pPr>
          </w:p>
        </w:tc>
        <w:tc>
          <w:tcPr>
            <w:tcW w:w="1723" w:type="dxa"/>
            <w:shd w:val="clear" w:color="auto" w:fill="D9D9D9"/>
            <w:vAlign w:val="center"/>
          </w:tcPr>
          <w:p>
            <w:pPr>
              <w:spacing w:before="120" w:after="120"/>
              <w:jc w:val="center"/>
              <w:rPr>
                <w:rFonts w:cs="Arial"/>
              </w:rPr>
            </w:pPr>
            <w:r>
              <w:rPr>
                <w:rFonts w:hint="eastAsia" w:cs="Arial"/>
                <w:i/>
              </w:rPr>
              <w:t>codebookMode</w:t>
            </w:r>
            <w:r>
              <w:rPr>
                <w:rFonts w:hint="eastAsia" w:cs="Arial"/>
              </w:rPr>
              <w:t>=1</w:t>
            </w:r>
          </w:p>
        </w:tc>
        <w:tc>
          <w:tcPr>
            <w:tcW w:w="1739" w:type="dxa"/>
            <w:shd w:val="clear" w:color="auto" w:fill="D9D9D9"/>
            <w:vAlign w:val="center"/>
          </w:tcPr>
          <w:p>
            <w:pPr>
              <w:spacing w:before="120" w:after="120"/>
              <w:jc w:val="center"/>
              <w:rPr>
                <w:rFonts w:cs="Arial"/>
              </w:rPr>
            </w:pPr>
            <w:r>
              <w:rPr>
                <w:rFonts w:hint="eastAsia" w:cs="Arial"/>
                <w:i/>
              </w:rPr>
              <w:t>codebookMode</w:t>
            </w:r>
            <w:r>
              <w:rPr>
                <w:rFonts w:hint="eastAsia"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Align w:val="center"/>
          </w:tcPr>
          <w:p>
            <w:pPr>
              <w:spacing w:before="120" w:after="120"/>
              <w:jc w:val="center"/>
            </w:pPr>
            <w:r>
              <w:t>R</w:t>
            </w:r>
            <w:r>
              <w:rPr>
                <w:rFonts w:hint="eastAsia"/>
              </w:rPr>
              <w:t xml:space="preserve">ank = 1 with &gt;2 CSI-RS ports, </w:t>
            </w:r>
            <w:r>
              <w:rPr>
                <w:position w:val="-10"/>
              </w:rPr>
              <w:object>
                <v:shape id="_x0000_i1031" o:spt="75" type="#_x0000_t75" style="height:14.2pt;width:28.35pt;" o:ole="t" filled="f" o:preferrelative="t" stroked="f" coordsize="21600,21600">
                  <v:path/>
                  <v:fill on="f" focussize="0,0"/>
                  <v:stroke on="f" joinstyle="miter"/>
                  <v:imagedata r:id="rId24" o:title=""/>
                  <o:lock v:ext="edit" aspectratio="t"/>
                  <w10:wrap type="none"/>
                  <w10:anchorlock/>
                </v:shape>
                <o:OLEObject Type="Embed" ProgID="Equation.3" ShapeID="_x0000_i1031" DrawAspect="Content" ObjectID="_1468075731" r:id="rId23">
                  <o:LockedField>false</o:LockedField>
                </o:OLEObject>
              </w:object>
            </w:r>
          </w:p>
        </w:tc>
        <w:tc>
          <w:tcPr>
            <w:tcW w:w="1867" w:type="dxa"/>
            <w:vAlign w:val="center"/>
          </w:tcPr>
          <w:p>
            <w:pPr>
              <w:spacing w:before="120" w:after="120"/>
              <w:jc w:val="center"/>
            </w:pPr>
            <w:r>
              <w:rPr>
                <w:rFonts w:hint="eastAsia"/>
              </w:rPr>
              <w:t>(</w:t>
            </w:r>
            <w:r>
              <w:rPr>
                <w:position w:val="-14"/>
              </w:rPr>
              <w:object>
                <v:shape id="_x0000_i1032" o:spt="75" type="#_x0000_t75" style="height:19.1pt;width:60pt;" o:ole="t" filled="f" o:preferrelative="t" stroked="f" coordsize="21600,21600">
                  <v:path/>
                  <v:fill on="f" focussize="0,0"/>
                  <v:stroke on="f" joinstyle="miter"/>
                  <v:imagedata r:id="rId26" o:title=""/>
                  <o:lock v:ext="edit" aspectratio="t"/>
                  <w10:wrap type="none"/>
                  <w10:anchorlock/>
                </v:shape>
                <o:OLEObject Type="Embed" ProgID="Equation.DSMT4" ShapeID="_x0000_i1032" DrawAspect="Content" ObjectID="_1468075732" r:id="rId25">
                  <o:LockedField>false</o:LockedField>
                </o:OLEObject>
              </w:object>
            </w:r>
            <w:r>
              <w:t>,</w:t>
            </w:r>
            <w:r>
              <w:rPr>
                <w:position w:val="-14"/>
              </w:rPr>
              <w:object>
                <v:shape id="_x0000_i1033" o:spt="75" type="#_x0000_t75" style="height:19.1pt;width:61.65pt;" o:ole="t" filled="f" o:preferrelative="t" stroked="f" coordsize="21600,21600">
                  <v:path/>
                  <v:fill on="f" focussize="0,0"/>
                  <v:stroke on="f" joinstyle="miter"/>
                  <v:imagedata r:id="rId28" o:title=""/>
                  <o:lock v:ext="edit" aspectratio="t"/>
                  <w10:wrap type="none"/>
                  <w10:anchorlock/>
                </v:shape>
                <o:OLEObject Type="Embed" ProgID="Equation.DSMT4" ShapeID="_x0000_i1033" DrawAspect="Content" ObjectID="_1468075733" r:id="rId27">
                  <o:LockedField>false</o:LockedField>
                </o:OLEObject>
              </w:object>
            </w:r>
            <w:r>
              <w:t>)</w:t>
            </w:r>
          </w:p>
        </w:tc>
        <w:tc>
          <w:tcPr>
            <w:tcW w:w="2025" w:type="dxa"/>
            <w:vAlign w:val="center"/>
          </w:tcPr>
          <w:p>
            <w:pPr>
              <w:spacing w:before="120" w:after="120"/>
              <w:jc w:val="center"/>
            </w:pPr>
            <w:r>
              <w:t>(</w:t>
            </w:r>
            <w:r>
              <w:rPr>
                <w:position w:val="-28"/>
              </w:rPr>
              <w:object>
                <v:shape id="_x0000_i1034" o:spt="75" type="#_x0000_t75" style="height:33.8pt;width:61.65pt;" o:ole="t" filled="f" o:preferrelative="t" stroked="f" coordsize="21600,21600">
                  <v:path/>
                  <v:fill on="f" focussize="0,0"/>
                  <v:stroke on="f" joinstyle="miter"/>
                  <v:imagedata r:id="rId30" o:title=""/>
                  <o:lock v:ext="edit" aspectratio="t"/>
                  <w10:wrap type="none"/>
                  <w10:anchorlock/>
                </v:shape>
                <o:OLEObject Type="Embed" ProgID="Equation.DSMT4" ShapeID="_x0000_i1034" DrawAspect="Content" ObjectID="_1468075734" r:id="rId29">
                  <o:LockedField>false</o:LockedField>
                </o:OLEObject>
              </w:object>
            </w:r>
            <w:r>
              <w:t>,</w:t>
            </w:r>
            <w:r>
              <w:rPr>
                <w:position w:val="-28"/>
              </w:rPr>
              <w:object>
                <v:shape id="_x0000_i1035" o:spt="75" type="#_x0000_t75" style="height:33.8pt;width:64.35pt;" o:ole="t" filled="f" o:preferrelative="t" stroked="f" coordsize="21600,21600">
                  <v:path/>
                  <v:fill on="f" focussize="0,0"/>
                  <v:stroke on="f" joinstyle="miter"/>
                  <v:imagedata r:id="rId32" o:title=""/>
                  <o:lock v:ext="edit" aspectratio="t"/>
                  <w10:wrap type="none"/>
                  <w10:anchorlock/>
                </v:shape>
                <o:OLEObject Type="Embed" ProgID="Equation.DSMT4" ShapeID="_x0000_i1035" DrawAspect="Content" ObjectID="_1468075735" r:id="rId31">
                  <o:LockedField>false</o:LockedField>
                </o:OLEObject>
              </w:object>
            </w:r>
            <w:r>
              <w:t>)</w:t>
            </w:r>
          </w:p>
        </w:tc>
        <w:tc>
          <w:tcPr>
            <w:tcW w:w="653" w:type="dxa"/>
            <w:vAlign w:val="center"/>
          </w:tcPr>
          <w:p>
            <w:pPr>
              <w:spacing w:before="120" w:after="120"/>
              <w:jc w:val="center"/>
            </w:pPr>
            <w:r>
              <w:rPr>
                <w:rFonts w:hint="eastAsia"/>
              </w:rPr>
              <w:t>N/A</w:t>
            </w:r>
          </w:p>
        </w:tc>
        <w:tc>
          <w:tcPr>
            <w:tcW w:w="1723" w:type="dxa"/>
            <w:vAlign w:val="center"/>
          </w:tcPr>
          <w:p>
            <w:pPr>
              <w:spacing w:before="120" w:after="120"/>
              <w:jc w:val="center"/>
            </w:pPr>
            <w:r>
              <w:rPr>
                <w:rFonts w:hint="eastAsia"/>
              </w:rPr>
              <w:t>2</w:t>
            </w:r>
          </w:p>
        </w:tc>
        <w:tc>
          <w:tcPr>
            <w:tcW w:w="1739" w:type="dxa"/>
            <w:vAlign w:val="center"/>
          </w:tcPr>
          <w:p>
            <w:pPr>
              <w:spacing w:before="120" w:after="120"/>
              <w:jc w:val="center"/>
            </w:pPr>
            <w:r>
              <w:rPr>
                <w:rFonts w:hint="eastAsi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Align w:val="center"/>
          </w:tcPr>
          <w:p>
            <w:pPr>
              <w:spacing w:before="120" w:after="120"/>
              <w:jc w:val="center"/>
            </w:pPr>
            <w:r>
              <w:t>R</w:t>
            </w:r>
            <w:r>
              <w:rPr>
                <w:rFonts w:hint="eastAsia"/>
              </w:rPr>
              <w:t xml:space="preserve">ank = 1 with &gt;2 CSI-RS ports, </w:t>
            </w:r>
            <w:r>
              <w:rPr>
                <w:position w:val="-10"/>
              </w:rPr>
              <w:object>
                <v:shape id="_x0000_i1036" o:spt="75" type="#_x0000_t75" style="height:14.2pt;width:28.35pt;" o:ole="t" filled="f" o:preferrelative="t" stroked="f" coordsize="21600,21600">
                  <v:path/>
                  <v:fill on="f" focussize="0,0"/>
                  <v:stroke on="f" joinstyle="miter"/>
                  <v:imagedata r:id="rId34" o:title=""/>
                  <o:lock v:ext="edit" aspectratio="t"/>
                  <w10:wrap type="none"/>
                  <w10:anchorlock/>
                </v:shape>
                <o:OLEObject Type="Embed" ProgID="Equation.3" ShapeID="_x0000_i1036" DrawAspect="Content" ObjectID="_1468075736" r:id="rId33">
                  <o:LockedField>false</o:LockedField>
                </o:OLEObject>
              </w:object>
            </w:r>
          </w:p>
        </w:tc>
        <w:tc>
          <w:tcPr>
            <w:tcW w:w="1867" w:type="dxa"/>
            <w:vAlign w:val="center"/>
          </w:tcPr>
          <w:p>
            <w:pPr>
              <w:spacing w:before="120" w:after="120"/>
              <w:jc w:val="center"/>
            </w:pPr>
            <w:r>
              <w:rPr>
                <w:rFonts w:hint="eastAsia"/>
              </w:rPr>
              <w:t>(</w:t>
            </w:r>
            <w:r>
              <w:rPr>
                <w:position w:val="-14"/>
              </w:rPr>
              <w:object>
                <v:shape id="_x0000_i1037" o:spt="75" type="#_x0000_t75" style="height:19.1pt;width:60pt;" o:ole="t" filled="f" o:preferrelative="t" stroked="f" coordsize="21600,21600">
                  <v:path/>
                  <v:fill on="f" focussize="0,0"/>
                  <v:stroke on="f" joinstyle="miter"/>
                  <v:imagedata r:id="rId26" o:title=""/>
                  <o:lock v:ext="edit" aspectratio="t"/>
                  <w10:wrap type="none"/>
                  <w10:anchorlock/>
                </v:shape>
                <o:OLEObject Type="Embed" ProgID="Equation.DSMT4" ShapeID="_x0000_i1037" DrawAspect="Content" ObjectID="_1468075737" r:id="rId35">
                  <o:LockedField>false</o:LockedField>
                </o:OLEObject>
              </w:object>
            </w:r>
            <w:r>
              <w:t>,</w:t>
            </w:r>
            <w:r>
              <w:rPr>
                <w:position w:val="-14"/>
              </w:rPr>
              <w:object>
                <v:shape id="_x0000_i1038" o:spt="75" type="#_x0000_t75" style="height:19.1pt;width:61.65pt;" o:ole="t" filled="f" o:preferrelative="t" stroked="f" coordsize="21600,21600">
                  <v:path/>
                  <v:fill on="f" focussize="0,0"/>
                  <v:stroke on="f" joinstyle="miter"/>
                  <v:imagedata r:id="rId28" o:title=""/>
                  <o:lock v:ext="edit" aspectratio="t"/>
                  <w10:wrap type="none"/>
                  <w10:anchorlock/>
                </v:shape>
                <o:OLEObject Type="Embed" ProgID="Equation.DSMT4" ShapeID="_x0000_i1038" DrawAspect="Content" ObjectID="_1468075738" r:id="rId36">
                  <o:LockedField>false</o:LockedField>
                </o:OLEObject>
              </w:object>
            </w:r>
            <w:r>
              <w:t>)</w:t>
            </w:r>
          </w:p>
        </w:tc>
        <w:tc>
          <w:tcPr>
            <w:tcW w:w="2025" w:type="dxa"/>
            <w:vAlign w:val="center"/>
          </w:tcPr>
          <w:p>
            <w:pPr>
              <w:spacing w:before="120" w:after="120"/>
              <w:jc w:val="center"/>
            </w:pPr>
            <w:r>
              <w:t>(</w:t>
            </w:r>
            <w:r>
              <w:rPr>
                <w:position w:val="-30"/>
              </w:rPr>
              <w:object>
                <v:shape id="_x0000_i1039" o:spt="75" type="#_x0000_t75" style="height:31.65pt;width:59.45pt;" o:ole="t" filled="f" o:preferrelative="t" stroked="f" coordsize="21600,21600">
                  <v:path/>
                  <v:fill on="f" focussize="0,0"/>
                  <v:stroke on="f" joinstyle="miter"/>
                  <v:imagedata r:id="rId38" o:title=""/>
                  <o:lock v:ext="edit" aspectratio="t"/>
                  <w10:wrap type="none"/>
                  <w10:anchorlock/>
                </v:shape>
                <o:OLEObject Type="Embed" ProgID="Equation.3" ShapeID="_x0000_i1039" DrawAspect="Content" ObjectID="_1468075739" r:id="rId37">
                  <o:LockedField>false</o:LockedField>
                </o:OLEObject>
              </w:object>
            </w:r>
            <w:r>
              <w:t>, 0)</w:t>
            </w:r>
          </w:p>
        </w:tc>
        <w:tc>
          <w:tcPr>
            <w:tcW w:w="653" w:type="dxa"/>
            <w:vAlign w:val="center"/>
          </w:tcPr>
          <w:p>
            <w:pPr>
              <w:spacing w:before="120" w:after="120"/>
              <w:jc w:val="center"/>
            </w:pPr>
            <w:r>
              <w:rPr>
                <w:rFonts w:hint="eastAsia"/>
              </w:rPr>
              <w:t>N/A</w:t>
            </w:r>
          </w:p>
        </w:tc>
        <w:tc>
          <w:tcPr>
            <w:tcW w:w="1723" w:type="dxa"/>
            <w:vAlign w:val="center"/>
          </w:tcPr>
          <w:p>
            <w:pPr>
              <w:spacing w:before="120" w:after="120"/>
              <w:jc w:val="center"/>
            </w:pPr>
            <w:r>
              <w:rPr>
                <w:rFonts w:hint="eastAsia"/>
              </w:rPr>
              <w:t>2</w:t>
            </w:r>
          </w:p>
        </w:tc>
        <w:tc>
          <w:tcPr>
            <w:tcW w:w="1739" w:type="dxa"/>
            <w:vAlign w:val="center"/>
          </w:tcPr>
          <w:p>
            <w:pPr>
              <w:spacing w:before="120" w:after="120"/>
              <w:jc w:val="center"/>
            </w:pPr>
            <w:r>
              <w:rPr>
                <w:rFonts w:hint="eastAsi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Align w:val="center"/>
          </w:tcPr>
          <w:p>
            <w:pPr>
              <w:spacing w:before="120" w:after="120"/>
              <w:jc w:val="center"/>
            </w:pPr>
            <w:r>
              <w:rPr>
                <w:rFonts w:hint="eastAsia"/>
              </w:rPr>
              <w:t xml:space="preserve">Rank=2 with 4 CSI-RS ports, </w:t>
            </w:r>
            <w:r>
              <w:rPr>
                <w:position w:val="-10"/>
              </w:rPr>
              <w:object>
                <v:shape id="_x0000_i1040" o:spt="75" type="#_x0000_t75" style="height:14.2pt;width:28.35pt;" o:ole="t" filled="f" o:preferrelative="t" stroked="f" coordsize="21600,21600">
                  <v:path/>
                  <v:fill on="f" focussize="0,0"/>
                  <v:stroke on="f" joinstyle="miter"/>
                  <v:imagedata r:id="rId40" o:title=""/>
                  <o:lock v:ext="edit" aspectratio="t"/>
                  <w10:wrap type="none"/>
                  <w10:anchorlock/>
                </v:shape>
                <o:OLEObject Type="Embed" ProgID="Equation.3" ShapeID="_x0000_i1040" DrawAspect="Content" ObjectID="_1468075740" r:id="rId39">
                  <o:LockedField>false</o:LockedField>
                </o:OLEObject>
              </w:object>
            </w:r>
          </w:p>
        </w:tc>
        <w:tc>
          <w:tcPr>
            <w:tcW w:w="1867" w:type="dxa"/>
            <w:vAlign w:val="center"/>
          </w:tcPr>
          <w:p>
            <w:pPr>
              <w:spacing w:before="120" w:after="120"/>
              <w:jc w:val="center"/>
            </w:pPr>
            <w:r>
              <w:rPr>
                <w:rFonts w:hint="eastAsia"/>
              </w:rPr>
              <w:t xml:space="preserve"> (</w:t>
            </w:r>
            <w:r>
              <w:rPr>
                <w:position w:val="-14"/>
              </w:rPr>
              <w:object>
                <v:shape id="_x0000_i1041" o:spt="75" type="#_x0000_t75" style="height:19.1pt;width:60pt;" o:ole="t" filled="f" o:preferrelative="t" stroked="f" coordsize="21600,21600">
                  <v:path/>
                  <v:fill on="f" focussize="0,0"/>
                  <v:stroke on="f" joinstyle="miter"/>
                  <v:imagedata r:id="rId26" o:title=""/>
                  <o:lock v:ext="edit" aspectratio="t"/>
                  <w10:wrap type="none"/>
                  <w10:anchorlock/>
                </v:shape>
                <o:OLEObject Type="Embed" ProgID="Equation.DSMT4" ShapeID="_x0000_i1041" DrawAspect="Content" ObjectID="_1468075741" r:id="rId41">
                  <o:LockedField>false</o:LockedField>
                </o:OLEObject>
              </w:object>
            </w:r>
            <w:r>
              <w:t>,</w:t>
            </w:r>
            <w:r>
              <w:rPr>
                <w:position w:val="-14"/>
              </w:rPr>
              <w:object>
                <v:shape id="_x0000_i1042" o:spt="75" type="#_x0000_t75" style="height:19.1pt;width:61.65pt;" o:ole="t" filled="f" o:preferrelative="t" stroked="f" coordsize="21600,21600">
                  <v:path/>
                  <v:fill on="f" focussize="0,0"/>
                  <v:stroke on="f" joinstyle="miter"/>
                  <v:imagedata r:id="rId28" o:title=""/>
                  <o:lock v:ext="edit" aspectratio="t"/>
                  <w10:wrap type="none"/>
                  <w10:anchorlock/>
                </v:shape>
                <o:OLEObject Type="Embed" ProgID="Equation.DSMT4" ShapeID="_x0000_i1042" DrawAspect="Content" ObjectID="_1468075742" r:id="rId42">
                  <o:LockedField>false</o:LockedField>
                </o:OLEObject>
              </w:object>
            </w:r>
            <w:r>
              <w:t>)</w:t>
            </w:r>
          </w:p>
        </w:tc>
        <w:tc>
          <w:tcPr>
            <w:tcW w:w="2025" w:type="dxa"/>
            <w:vAlign w:val="center"/>
          </w:tcPr>
          <w:p>
            <w:pPr>
              <w:spacing w:before="120" w:after="120"/>
              <w:jc w:val="center"/>
            </w:pPr>
            <w:r>
              <w:t>(</w:t>
            </w:r>
            <w:r>
              <w:rPr>
                <w:position w:val="-30"/>
              </w:rPr>
              <w:object>
                <v:shape id="_x0000_i1043" o:spt="75" type="#_x0000_t75" style="height:31.65pt;width:59.45pt;" o:ole="t" filled="f" o:preferrelative="t" stroked="f" coordsize="21600,21600">
                  <v:path/>
                  <v:fill on="f" focussize="0,0"/>
                  <v:stroke on="f" joinstyle="miter"/>
                  <v:imagedata r:id="rId44" o:title=""/>
                  <o:lock v:ext="edit" aspectratio="t"/>
                  <w10:wrap type="none"/>
                  <w10:anchorlock/>
                </v:shape>
                <o:OLEObject Type="Embed" ProgID="Equation.3" ShapeID="_x0000_i1043" DrawAspect="Content" ObjectID="_1468075743" r:id="rId43">
                  <o:LockedField>false</o:LockedField>
                </o:OLEObject>
              </w:object>
            </w:r>
            <w:r>
              <w:t>, 0)</w:t>
            </w:r>
          </w:p>
        </w:tc>
        <w:tc>
          <w:tcPr>
            <w:tcW w:w="653" w:type="dxa"/>
            <w:vAlign w:val="center"/>
          </w:tcPr>
          <w:p>
            <w:pPr>
              <w:spacing w:before="120" w:after="120"/>
              <w:jc w:val="center"/>
            </w:pPr>
            <w:r>
              <w:rPr>
                <w:rFonts w:hint="eastAsia"/>
              </w:rPr>
              <w:t>1</w:t>
            </w:r>
          </w:p>
        </w:tc>
        <w:tc>
          <w:tcPr>
            <w:tcW w:w="1723" w:type="dxa"/>
            <w:vAlign w:val="center"/>
          </w:tcPr>
          <w:p>
            <w:pPr>
              <w:spacing w:before="120" w:after="120"/>
              <w:jc w:val="center"/>
            </w:pPr>
            <w:r>
              <w:rPr>
                <w:rFonts w:hint="eastAsia"/>
              </w:rPr>
              <w:t>1</w:t>
            </w:r>
          </w:p>
        </w:tc>
        <w:tc>
          <w:tcPr>
            <w:tcW w:w="1739" w:type="dxa"/>
            <w:vAlign w:val="center"/>
          </w:tcPr>
          <w:p>
            <w:pPr>
              <w:spacing w:before="120" w:after="120"/>
              <w:jc w:val="center"/>
            </w:pPr>
            <w:r>
              <w:rPr>
                <w:rFonts w:hint="eastAsi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Align w:val="center"/>
          </w:tcPr>
          <w:p>
            <w:pPr>
              <w:spacing w:before="120" w:after="120"/>
              <w:jc w:val="center"/>
            </w:pPr>
            <w:r>
              <w:t>R</w:t>
            </w:r>
            <w:r>
              <w:rPr>
                <w:rFonts w:hint="eastAsia"/>
              </w:rPr>
              <w:t xml:space="preserve">ank=2 with &gt;4 CSI-RS ports, </w:t>
            </w:r>
            <w:r>
              <w:rPr>
                <w:position w:val="-10"/>
              </w:rPr>
              <w:object>
                <v:shape id="_x0000_i1044" o:spt="75" type="#_x0000_t75" style="height:14.2pt;width:28.35pt;" o:ole="t" filled="f" o:preferrelative="t" stroked="f" coordsize="21600,21600">
                  <v:path/>
                  <v:fill on="f" focussize="0,0"/>
                  <v:stroke on="f" joinstyle="miter"/>
                  <v:imagedata r:id="rId46" o:title=""/>
                  <o:lock v:ext="edit" aspectratio="t"/>
                  <w10:wrap type="none"/>
                  <w10:anchorlock/>
                </v:shape>
                <o:OLEObject Type="Embed" ProgID="Equation.3" ShapeID="_x0000_i1044" DrawAspect="Content" ObjectID="_1468075744" r:id="rId45">
                  <o:LockedField>false</o:LockedField>
                </o:OLEObject>
              </w:object>
            </w:r>
          </w:p>
        </w:tc>
        <w:tc>
          <w:tcPr>
            <w:tcW w:w="1867" w:type="dxa"/>
            <w:vAlign w:val="center"/>
          </w:tcPr>
          <w:p>
            <w:pPr>
              <w:spacing w:before="120" w:after="120"/>
              <w:jc w:val="center"/>
            </w:pPr>
            <w:r>
              <w:rPr>
                <w:rFonts w:hint="eastAsia"/>
              </w:rPr>
              <w:t xml:space="preserve"> (</w:t>
            </w:r>
            <w:r>
              <w:rPr>
                <w:position w:val="-14"/>
              </w:rPr>
              <w:object>
                <v:shape id="_x0000_i1045" o:spt="75" type="#_x0000_t75" style="height:19.1pt;width:60pt;" o:ole="t" filled="f" o:preferrelative="t" stroked="f" coordsize="21600,21600">
                  <v:path/>
                  <v:fill on="f" focussize="0,0"/>
                  <v:stroke on="f" joinstyle="miter"/>
                  <v:imagedata r:id="rId26" o:title=""/>
                  <o:lock v:ext="edit" aspectratio="t"/>
                  <w10:wrap type="none"/>
                  <w10:anchorlock/>
                </v:shape>
                <o:OLEObject Type="Embed" ProgID="Equation.DSMT4" ShapeID="_x0000_i1045" DrawAspect="Content" ObjectID="_1468075745" r:id="rId47">
                  <o:LockedField>false</o:LockedField>
                </o:OLEObject>
              </w:object>
            </w:r>
            <w:r>
              <w:t>,</w:t>
            </w:r>
            <w:r>
              <w:rPr>
                <w:position w:val="-14"/>
              </w:rPr>
              <w:object>
                <v:shape id="_x0000_i1046" o:spt="75" type="#_x0000_t75" style="height:19.1pt;width:61.65pt;" o:ole="t" filled="f" o:preferrelative="t" stroked="f" coordsize="21600,21600">
                  <v:path/>
                  <v:fill on="f" focussize="0,0"/>
                  <v:stroke on="f" joinstyle="miter"/>
                  <v:imagedata r:id="rId28" o:title=""/>
                  <o:lock v:ext="edit" aspectratio="t"/>
                  <w10:wrap type="none"/>
                  <w10:anchorlock/>
                </v:shape>
                <o:OLEObject Type="Embed" ProgID="Equation.DSMT4" ShapeID="_x0000_i1046" DrawAspect="Content" ObjectID="_1468075746" r:id="rId48">
                  <o:LockedField>false</o:LockedField>
                </o:OLEObject>
              </w:object>
            </w:r>
            <w:r>
              <w:t>)</w:t>
            </w:r>
          </w:p>
        </w:tc>
        <w:tc>
          <w:tcPr>
            <w:tcW w:w="2025" w:type="dxa"/>
            <w:vAlign w:val="center"/>
          </w:tcPr>
          <w:p>
            <w:pPr>
              <w:spacing w:before="120" w:after="120"/>
              <w:jc w:val="center"/>
            </w:pPr>
            <w:r>
              <w:t>(</w:t>
            </w:r>
            <w:r>
              <w:rPr>
                <w:position w:val="-28"/>
              </w:rPr>
              <w:object>
                <v:shape id="_x0000_i1047" o:spt="75" type="#_x0000_t75" style="height:33.8pt;width:61.65pt;" o:ole="t" filled="f" o:preferrelative="t" stroked="f" coordsize="21600,21600">
                  <v:path/>
                  <v:fill on="f" focussize="0,0"/>
                  <v:stroke on="f" joinstyle="miter"/>
                  <v:imagedata r:id="rId30" o:title=""/>
                  <o:lock v:ext="edit" aspectratio="t"/>
                  <w10:wrap type="none"/>
                  <w10:anchorlock/>
                </v:shape>
                <o:OLEObject Type="Embed" ProgID="Equation.DSMT4" ShapeID="_x0000_i1047" DrawAspect="Content" ObjectID="_1468075747" r:id="rId49">
                  <o:LockedField>false</o:LockedField>
                </o:OLEObject>
              </w:object>
            </w:r>
            <w:r>
              <w:t>,</w:t>
            </w:r>
            <w:r>
              <w:rPr>
                <w:position w:val="-28"/>
              </w:rPr>
              <w:object>
                <v:shape id="_x0000_i1048" o:spt="75" type="#_x0000_t75" style="height:33.8pt;width:64.35pt;" o:ole="t" filled="f" o:preferrelative="t" stroked="f" coordsize="21600,21600">
                  <v:path/>
                  <v:fill on="f" focussize="0,0"/>
                  <v:stroke on="f" joinstyle="miter"/>
                  <v:imagedata r:id="rId32" o:title=""/>
                  <o:lock v:ext="edit" aspectratio="t"/>
                  <w10:wrap type="none"/>
                  <w10:anchorlock/>
                </v:shape>
                <o:OLEObject Type="Embed" ProgID="Equation.DSMT4" ShapeID="_x0000_i1048" DrawAspect="Content" ObjectID="_1468075748" r:id="rId50">
                  <o:LockedField>false</o:LockedField>
                </o:OLEObject>
              </w:object>
            </w:r>
            <w:r>
              <w:t>)</w:t>
            </w:r>
          </w:p>
        </w:tc>
        <w:tc>
          <w:tcPr>
            <w:tcW w:w="653" w:type="dxa"/>
            <w:vAlign w:val="center"/>
          </w:tcPr>
          <w:p>
            <w:pPr>
              <w:spacing w:before="120" w:after="120"/>
              <w:jc w:val="center"/>
            </w:pPr>
            <w:r>
              <w:rPr>
                <w:rFonts w:hint="eastAsia"/>
              </w:rPr>
              <w:t>2</w:t>
            </w:r>
          </w:p>
        </w:tc>
        <w:tc>
          <w:tcPr>
            <w:tcW w:w="1723" w:type="dxa"/>
            <w:vAlign w:val="center"/>
          </w:tcPr>
          <w:p>
            <w:pPr>
              <w:spacing w:before="120" w:after="120"/>
              <w:jc w:val="center"/>
            </w:pPr>
            <w:r>
              <w:rPr>
                <w:rFonts w:hint="eastAsia"/>
              </w:rPr>
              <w:t>1</w:t>
            </w:r>
          </w:p>
        </w:tc>
        <w:tc>
          <w:tcPr>
            <w:tcW w:w="1739" w:type="dxa"/>
            <w:vAlign w:val="center"/>
          </w:tcPr>
          <w:p>
            <w:pPr>
              <w:spacing w:before="120" w:after="120"/>
              <w:jc w:val="center"/>
            </w:pPr>
            <w:r>
              <w:rPr>
                <w:rFonts w:hint="eastAsi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Align w:val="center"/>
          </w:tcPr>
          <w:p>
            <w:pPr>
              <w:spacing w:before="120" w:after="120"/>
              <w:jc w:val="center"/>
            </w:pPr>
            <w:r>
              <w:t>R</w:t>
            </w:r>
            <w:r>
              <w:rPr>
                <w:rFonts w:hint="eastAsia"/>
              </w:rPr>
              <w:t xml:space="preserve">ank=2 with &gt;4 CSI-RS ports, </w:t>
            </w:r>
            <w:r>
              <w:rPr>
                <w:position w:val="-10"/>
              </w:rPr>
              <w:object>
                <v:shape id="_x0000_i1049" o:spt="75" type="#_x0000_t75" style="height:14.2pt;width:28.35pt;" o:ole="t" filled="f" o:preferrelative="t" stroked="f" coordsize="21600,21600">
                  <v:path/>
                  <v:fill on="f" focussize="0,0"/>
                  <v:stroke on="f" joinstyle="miter"/>
                  <v:imagedata r:id="rId40" o:title=""/>
                  <o:lock v:ext="edit" aspectratio="t"/>
                  <w10:wrap type="none"/>
                  <w10:anchorlock/>
                </v:shape>
                <o:OLEObject Type="Embed" ProgID="Equation.3" ShapeID="_x0000_i1049" DrawAspect="Content" ObjectID="_1468075749" r:id="rId51">
                  <o:LockedField>false</o:LockedField>
                </o:OLEObject>
              </w:object>
            </w:r>
          </w:p>
        </w:tc>
        <w:tc>
          <w:tcPr>
            <w:tcW w:w="1867" w:type="dxa"/>
            <w:vAlign w:val="center"/>
          </w:tcPr>
          <w:p>
            <w:pPr>
              <w:spacing w:before="120" w:after="120"/>
              <w:jc w:val="center"/>
            </w:pPr>
            <w:r>
              <w:rPr>
                <w:rFonts w:hint="eastAsia"/>
              </w:rPr>
              <w:t>(</w:t>
            </w:r>
            <w:r>
              <w:rPr>
                <w:position w:val="-14"/>
              </w:rPr>
              <w:object>
                <v:shape id="_x0000_i1050" o:spt="75" type="#_x0000_t75" style="height:19.1pt;width:60pt;" o:ole="t" filled="f" o:preferrelative="t" stroked="f" coordsize="21600,21600">
                  <v:path/>
                  <v:fill on="f" focussize="0,0"/>
                  <v:stroke on="f" joinstyle="miter"/>
                  <v:imagedata r:id="rId26" o:title=""/>
                  <o:lock v:ext="edit" aspectratio="t"/>
                  <w10:wrap type="none"/>
                  <w10:anchorlock/>
                </v:shape>
                <o:OLEObject Type="Embed" ProgID="Equation.DSMT4" ShapeID="_x0000_i1050" DrawAspect="Content" ObjectID="_1468075750" r:id="rId52">
                  <o:LockedField>false</o:LockedField>
                </o:OLEObject>
              </w:object>
            </w:r>
            <w:r>
              <w:t>,</w:t>
            </w:r>
            <w:r>
              <w:rPr>
                <w:position w:val="-14"/>
              </w:rPr>
              <w:object>
                <v:shape id="_x0000_i1051" o:spt="75" type="#_x0000_t75" style="height:19.1pt;width:61.65pt;" o:ole="t" filled="f" o:preferrelative="t" stroked="f" coordsize="21600,21600">
                  <v:path/>
                  <v:fill on="f" focussize="0,0"/>
                  <v:stroke on="f" joinstyle="miter"/>
                  <v:imagedata r:id="rId28" o:title=""/>
                  <o:lock v:ext="edit" aspectratio="t"/>
                  <w10:wrap type="none"/>
                  <w10:anchorlock/>
                </v:shape>
                <o:OLEObject Type="Embed" ProgID="Equation.DSMT4" ShapeID="_x0000_i1051" DrawAspect="Content" ObjectID="_1468075751" r:id="rId53">
                  <o:LockedField>false</o:LockedField>
                </o:OLEObject>
              </w:object>
            </w:r>
            <w:r>
              <w:t>)</w:t>
            </w:r>
          </w:p>
        </w:tc>
        <w:tc>
          <w:tcPr>
            <w:tcW w:w="2025" w:type="dxa"/>
            <w:vAlign w:val="center"/>
          </w:tcPr>
          <w:p>
            <w:pPr>
              <w:spacing w:before="120" w:after="120"/>
              <w:jc w:val="center"/>
            </w:pPr>
            <w:r>
              <w:t>(</w:t>
            </w:r>
            <w:r>
              <w:rPr>
                <w:position w:val="-30"/>
              </w:rPr>
              <w:object>
                <v:shape id="_x0000_i1052" o:spt="75" type="#_x0000_t75" style="height:31.65pt;width:59.45pt;" o:ole="t" filled="f" o:preferrelative="t" stroked="f" coordsize="21600,21600">
                  <v:path/>
                  <v:fill on="f" focussize="0,0"/>
                  <v:stroke on="f" joinstyle="miter"/>
                  <v:imagedata r:id="rId44" o:title=""/>
                  <o:lock v:ext="edit" aspectratio="t"/>
                  <w10:wrap type="none"/>
                  <w10:anchorlock/>
                </v:shape>
                <o:OLEObject Type="Embed" ProgID="Equation.3" ShapeID="_x0000_i1052" DrawAspect="Content" ObjectID="_1468075752" r:id="rId54">
                  <o:LockedField>false</o:LockedField>
                </o:OLEObject>
              </w:object>
            </w:r>
            <w:r>
              <w:t>, 0)</w:t>
            </w:r>
          </w:p>
        </w:tc>
        <w:tc>
          <w:tcPr>
            <w:tcW w:w="653" w:type="dxa"/>
            <w:vAlign w:val="center"/>
          </w:tcPr>
          <w:p>
            <w:pPr>
              <w:spacing w:before="120" w:after="120"/>
              <w:jc w:val="center"/>
            </w:pPr>
            <w:r>
              <w:rPr>
                <w:rFonts w:hint="eastAsia"/>
              </w:rPr>
              <w:t>2</w:t>
            </w:r>
          </w:p>
        </w:tc>
        <w:tc>
          <w:tcPr>
            <w:tcW w:w="1723" w:type="dxa"/>
            <w:vAlign w:val="center"/>
          </w:tcPr>
          <w:p>
            <w:pPr>
              <w:spacing w:before="120" w:after="120"/>
              <w:jc w:val="center"/>
            </w:pPr>
            <w:r>
              <w:rPr>
                <w:rFonts w:hint="eastAsia"/>
              </w:rPr>
              <w:t>1</w:t>
            </w:r>
          </w:p>
        </w:tc>
        <w:tc>
          <w:tcPr>
            <w:tcW w:w="1739" w:type="dxa"/>
            <w:vAlign w:val="center"/>
          </w:tcPr>
          <w:p>
            <w:pPr>
              <w:spacing w:before="120" w:after="120"/>
              <w:jc w:val="center"/>
            </w:pPr>
            <w:r>
              <w:rPr>
                <w:rFonts w:hint="eastAsi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Align w:val="center"/>
          </w:tcPr>
          <w:p>
            <w:pPr>
              <w:spacing w:before="120" w:after="120"/>
              <w:jc w:val="center"/>
            </w:pPr>
            <w:r>
              <w:rPr>
                <w:rFonts w:hint="eastAsia"/>
              </w:rPr>
              <w:t xml:space="preserve">Rank=3 or 4, with </w:t>
            </w:r>
            <w:r>
              <w:t>4</w:t>
            </w:r>
            <w:r>
              <w:rPr>
                <w:rFonts w:hint="eastAsia"/>
              </w:rPr>
              <w:t xml:space="preserve"> CSI-RS ports</w:t>
            </w:r>
          </w:p>
        </w:tc>
        <w:tc>
          <w:tcPr>
            <w:tcW w:w="3892" w:type="dxa"/>
            <w:gridSpan w:val="2"/>
            <w:vAlign w:val="center"/>
          </w:tcPr>
          <w:p>
            <w:pPr>
              <w:spacing w:before="120" w:after="120"/>
              <w:jc w:val="center"/>
            </w:pPr>
            <w:r>
              <w:t xml:space="preserve"> </w:t>
            </w:r>
            <w:r>
              <w:rPr>
                <w:rFonts w:hint="eastAsia"/>
              </w:rPr>
              <w:t>(</w:t>
            </w:r>
            <w:r>
              <w:rPr>
                <w:position w:val="-14"/>
              </w:rPr>
              <w:object>
                <v:shape id="_x0000_i1053" o:spt="75" type="#_x0000_t75" style="height:19.1pt;width:60pt;" o:ole="t" filled="f" o:preferrelative="t" stroked="f" coordsize="21600,21600">
                  <v:path/>
                  <v:fill on="f" focussize="0,0"/>
                  <v:stroke on="f" joinstyle="miter"/>
                  <v:imagedata r:id="rId26" o:title=""/>
                  <o:lock v:ext="edit" aspectratio="t"/>
                  <w10:wrap type="none"/>
                  <w10:anchorlock/>
                </v:shape>
                <o:OLEObject Type="Embed" ProgID="Equation.DSMT4" ShapeID="_x0000_i1053" DrawAspect="Content" ObjectID="_1468075753" r:id="rId55">
                  <o:LockedField>false</o:LockedField>
                </o:OLEObject>
              </w:object>
            </w:r>
            <w:r>
              <w:t>,</w:t>
            </w:r>
            <w:r>
              <w:rPr>
                <w:position w:val="-14"/>
              </w:rPr>
              <w:object>
                <v:shape id="_x0000_i1054" o:spt="75" type="#_x0000_t75" style="height:19.1pt;width:61.65pt;" o:ole="t" filled="f" o:preferrelative="t" stroked="f" coordsize="21600,21600">
                  <v:path/>
                  <v:fill on="f" focussize="0,0"/>
                  <v:stroke on="f" joinstyle="miter"/>
                  <v:imagedata r:id="rId28" o:title=""/>
                  <o:lock v:ext="edit" aspectratio="t"/>
                  <w10:wrap type="none"/>
                  <w10:anchorlock/>
                </v:shape>
                <o:OLEObject Type="Embed" ProgID="Equation.DSMT4" ShapeID="_x0000_i1054" DrawAspect="Content" ObjectID="_1468075754" r:id="rId56">
                  <o:LockedField>false</o:LockedField>
                </o:OLEObject>
              </w:object>
            </w:r>
            <w:r>
              <w:t>)</w:t>
            </w:r>
          </w:p>
        </w:tc>
        <w:tc>
          <w:tcPr>
            <w:tcW w:w="653" w:type="dxa"/>
            <w:vAlign w:val="center"/>
          </w:tcPr>
          <w:p>
            <w:pPr>
              <w:spacing w:before="120" w:after="120"/>
              <w:jc w:val="center"/>
            </w:pPr>
            <w:r>
              <w:rPr>
                <w:rFonts w:hint="eastAsia"/>
              </w:rPr>
              <w:t>0</w:t>
            </w:r>
          </w:p>
        </w:tc>
        <w:tc>
          <w:tcPr>
            <w:tcW w:w="3462" w:type="dxa"/>
            <w:gridSpan w:val="2"/>
            <w:vAlign w:val="center"/>
          </w:tcPr>
          <w:p>
            <w:pPr>
              <w:spacing w:before="120" w:after="120"/>
              <w:jc w:val="center"/>
            </w:pPr>
            <w:r>
              <w:rPr>
                <w:rFonts w:hint="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Align w:val="center"/>
          </w:tcPr>
          <w:p>
            <w:pPr>
              <w:spacing w:before="120" w:after="120"/>
              <w:jc w:val="center"/>
            </w:pPr>
            <w:r>
              <w:rPr>
                <w:rFonts w:hint="eastAsia"/>
              </w:rPr>
              <w:t>Rank=3 or 4, with 8 or 12 CSI-RS ports</w:t>
            </w:r>
          </w:p>
        </w:tc>
        <w:tc>
          <w:tcPr>
            <w:tcW w:w="3892" w:type="dxa"/>
            <w:gridSpan w:val="2"/>
            <w:vAlign w:val="center"/>
          </w:tcPr>
          <w:p>
            <w:pPr>
              <w:spacing w:before="120" w:after="120"/>
              <w:jc w:val="center"/>
            </w:pPr>
            <w:r>
              <w:t xml:space="preserve"> </w:t>
            </w:r>
            <w:r>
              <w:rPr>
                <w:rFonts w:hint="eastAsia"/>
              </w:rPr>
              <w:t>(</w:t>
            </w:r>
            <w:r>
              <w:rPr>
                <w:position w:val="-14"/>
              </w:rPr>
              <w:object>
                <v:shape id="_x0000_i1055" o:spt="75" type="#_x0000_t75" style="height:19.1pt;width:60pt;" o:ole="t" filled="f" o:preferrelative="t" stroked="f" coordsize="21600,21600">
                  <v:path/>
                  <v:fill on="f" focussize="0,0"/>
                  <v:stroke on="f" joinstyle="miter"/>
                  <v:imagedata r:id="rId26" o:title=""/>
                  <o:lock v:ext="edit" aspectratio="t"/>
                  <w10:wrap type="none"/>
                  <w10:anchorlock/>
                </v:shape>
                <o:OLEObject Type="Embed" ProgID="Equation.DSMT4" ShapeID="_x0000_i1055" DrawAspect="Content" ObjectID="_1468075755" r:id="rId57">
                  <o:LockedField>false</o:LockedField>
                </o:OLEObject>
              </w:object>
            </w:r>
            <w:r>
              <w:t>,</w:t>
            </w:r>
            <w:r>
              <w:rPr>
                <w:position w:val="-14"/>
              </w:rPr>
              <w:object>
                <v:shape id="_x0000_i1056" o:spt="75" type="#_x0000_t75" style="height:19.1pt;width:61.65pt;" o:ole="t" filled="f" o:preferrelative="t" stroked="f" coordsize="21600,21600">
                  <v:path/>
                  <v:fill on="f" focussize="0,0"/>
                  <v:stroke on="f" joinstyle="miter"/>
                  <v:imagedata r:id="rId28" o:title=""/>
                  <o:lock v:ext="edit" aspectratio="t"/>
                  <w10:wrap type="none"/>
                  <w10:anchorlock/>
                </v:shape>
                <o:OLEObject Type="Embed" ProgID="Equation.DSMT4" ShapeID="_x0000_i1056" DrawAspect="Content" ObjectID="_1468075756" r:id="rId58">
                  <o:LockedField>false</o:LockedField>
                </o:OLEObject>
              </w:object>
            </w:r>
            <w:r>
              <w:t>)</w:t>
            </w:r>
          </w:p>
        </w:tc>
        <w:tc>
          <w:tcPr>
            <w:tcW w:w="653" w:type="dxa"/>
            <w:vAlign w:val="center"/>
          </w:tcPr>
          <w:p>
            <w:pPr>
              <w:spacing w:before="120" w:after="120"/>
              <w:jc w:val="center"/>
            </w:pPr>
            <w:r>
              <w:rPr>
                <w:rFonts w:hint="eastAsia"/>
              </w:rPr>
              <w:t>2</w:t>
            </w:r>
          </w:p>
        </w:tc>
        <w:tc>
          <w:tcPr>
            <w:tcW w:w="3462" w:type="dxa"/>
            <w:gridSpan w:val="2"/>
            <w:vAlign w:val="center"/>
          </w:tcPr>
          <w:p>
            <w:pPr>
              <w:spacing w:before="120" w:after="120"/>
              <w:jc w:val="center"/>
            </w:pPr>
            <w:r>
              <w:rPr>
                <w:rFonts w:hint="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Align w:val="center"/>
          </w:tcPr>
          <w:p>
            <w:pPr>
              <w:spacing w:before="120" w:after="120"/>
              <w:jc w:val="center"/>
            </w:pPr>
            <w:r>
              <w:rPr>
                <w:rFonts w:hint="eastAsia"/>
              </w:rPr>
              <w:t>Rank=3 or 4 , with &gt;=16 CSI-RS ports</w:t>
            </w:r>
          </w:p>
        </w:tc>
        <w:tc>
          <w:tcPr>
            <w:tcW w:w="3892" w:type="dxa"/>
            <w:gridSpan w:val="2"/>
            <w:vAlign w:val="center"/>
          </w:tcPr>
          <w:p>
            <w:pPr>
              <w:spacing w:before="120" w:after="120"/>
              <w:jc w:val="center"/>
            </w:pPr>
            <w:r>
              <w:t xml:space="preserve"> (</w:t>
            </w:r>
            <w:r>
              <w:rPr>
                <w:position w:val="-28"/>
              </w:rPr>
              <w:object>
                <v:shape id="_x0000_i1057" o:spt="75" type="#_x0000_t75" style="height:33.8pt;width:61.65pt;" o:ole="t" filled="f" o:preferrelative="t" stroked="f" coordsize="21600,21600">
                  <v:path/>
                  <v:fill on="f" focussize="0,0"/>
                  <v:stroke on="f" joinstyle="miter"/>
                  <v:imagedata r:id="rId60" o:title=""/>
                  <o:lock v:ext="edit" aspectratio="t"/>
                  <w10:wrap type="none"/>
                  <w10:anchorlock/>
                </v:shape>
                <o:OLEObject Type="Embed" ProgID="Equation.DSMT4" ShapeID="_x0000_i1057" DrawAspect="Content" ObjectID="_1468075757" r:id="rId59">
                  <o:LockedField>false</o:LockedField>
                </o:OLEObject>
              </w:object>
            </w:r>
            <w:r>
              <w:t xml:space="preserve">, </w:t>
            </w:r>
            <w:r>
              <w:rPr>
                <w:position w:val="-14"/>
              </w:rPr>
              <w:object>
                <v:shape id="_x0000_i1058" o:spt="75" type="#_x0000_t75" style="height:19.1pt;width:61.65pt;" o:ole="t" filled="f" o:preferrelative="t" stroked="f" coordsize="21600,21600">
                  <v:path/>
                  <v:fill on="f" focussize="0,0"/>
                  <v:stroke on="f" joinstyle="miter"/>
                  <v:imagedata r:id="rId62" o:title=""/>
                  <o:lock v:ext="edit" aspectratio="t"/>
                  <w10:wrap type="none"/>
                  <w10:anchorlock/>
                </v:shape>
                <o:OLEObject Type="Embed" ProgID="Equation.DSMT4" ShapeID="_x0000_i1058" DrawAspect="Content" ObjectID="_1468075758" r:id="rId61">
                  <o:LockedField>false</o:LockedField>
                </o:OLEObject>
              </w:object>
            </w:r>
            <w:r>
              <w:t>)</w:t>
            </w:r>
          </w:p>
        </w:tc>
        <w:tc>
          <w:tcPr>
            <w:tcW w:w="653" w:type="dxa"/>
            <w:vAlign w:val="center"/>
          </w:tcPr>
          <w:p>
            <w:pPr>
              <w:spacing w:before="120" w:after="120"/>
              <w:jc w:val="center"/>
            </w:pPr>
            <w:r>
              <w:rPr>
                <w:rFonts w:hint="eastAsia"/>
              </w:rPr>
              <w:t>2</w:t>
            </w:r>
          </w:p>
        </w:tc>
        <w:tc>
          <w:tcPr>
            <w:tcW w:w="3462" w:type="dxa"/>
            <w:gridSpan w:val="2"/>
            <w:vAlign w:val="center"/>
          </w:tcPr>
          <w:p>
            <w:pPr>
              <w:spacing w:before="120" w:after="120"/>
              <w:jc w:val="center"/>
            </w:pPr>
            <w:r>
              <w:rPr>
                <w:rFonts w:hint="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Align w:val="center"/>
          </w:tcPr>
          <w:p>
            <w:pPr>
              <w:spacing w:before="120" w:after="120"/>
              <w:jc w:val="center"/>
            </w:pPr>
            <w:r>
              <w:rPr>
                <w:rFonts w:hint="eastAsia"/>
              </w:rPr>
              <w:t>...</w:t>
            </w:r>
          </w:p>
        </w:tc>
        <w:tc>
          <w:tcPr>
            <w:tcW w:w="3892" w:type="dxa"/>
            <w:gridSpan w:val="2"/>
            <w:vAlign w:val="center"/>
          </w:tcPr>
          <w:p>
            <w:pPr>
              <w:spacing w:before="120" w:after="120"/>
              <w:jc w:val="center"/>
            </w:pPr>
          </w:p>
        </w:tc>
        <w:tc>
          <w:tcPr>
            <w:tcW w:w="653" w:type="dxa"/>
            <w:vAlign w:val="center"/>
          </w:tcPr>
          <w:p>
            <w:pPr>
              <w:spacing w:before="120" w:after="120"/>
              <w:jc w:val="center"/>
            </w:pPr>
          </w:p>
        </w:tc>
        <w:tc>
          <w:tcPr>
            <w:tcW w:w="3462" w:type="dxa"/>
            <w:gridSpan w:val="2"/>
            <w:vAlign w:val="center"/>
          </w:tcPr>
          <w:p>
            <w:pPr>
              <w:spacing w:before="120" w:after="120"/>
              <w:jc w:val="center"/>
            </w:pPr>
          </w:p>
        </w:tc>
      </w:tr>
      <w:bookmarkEnd w:id="79"/>
    </w:tbl>
    <w:p>
      <w:pPr>
        <w:pStyle w:val="30"/>
        <w:spacing w:before="120" w:after="120"/>
        <w:rPr>
          <w:lang w:val="en-US" w:eastAsia="zh-CN"/>
        </w:rPr>
      </w:pPr>
      <w:bookmarkStart w:id="80" w:name="_Toc27229"/>
      <w:bookmarkStart w:id="81" w:name="_Toc29102"/>
      <w:bookmarkStart w:id="82" w:name="_Toc20062"/>
      <w:bookmarkStart w:id="83" w:name="_Toc11805"/>
      <w:r>
        <w:rPr>
          <w:rFonts w:hint="eastAsia"/>
          <w:lang w:val="en-US" w:eastAsia="zh-CN"/>
        </w:rPr>
        <w:t xml:space="preserve">The overhead of PMI is </w:t>
      </w:r>
      <w:r>
        <w:rPr>
          <w:lang w:val="en-US" w:eastAsia="zh-CN"/>
        </w:rPr>
        <w:t>determined by</w:t>
      </w:r>
      <w:r>
        <w:rPr>
          <w:rFonts w:hint="eastAsia"/>
          <w:lang w:val="en-US" w:eastAsia="zh-CN"/>
        </w:rPr>
        <w:t xml:space="preserve"> N1,</w:t>
      </w:r>
      <w:r>
        <w:rPr>
          <w:lang w:val="en-US" w:eastAsia="zh-CN"/>
        </w:rPr>
        <w:t xml:space="preserve"> </w:t>
      </w:r>
      <w:r>
        <w:rPr>
          <w:rFonts w:hint="eastAsia"/>
          <w:lang w:val="en-US" w:eastAsia="zh-CN"/>
        </w:rPr>
        <w:t>N2,</w:t>
      </w:r>
      <w:r>
        <w:rPr>
          <w:lang w:val="en-US" w:eastAsia="zh-CN"/>
        </w:rPr>
        <w:t xml:space="preserve"> </w:t>
      </w:r>
      <w:r>
        <w:rPr>
          <w:rFonts w:hint="eastAsia"/>
          <w:lang w:val="en-US" w:eastAsia="zh-CN"/>
        </w:rPr>
        <w:t>O1,</w:t>
      </w:r>
      <w:r>
        <w:rPr>
          <w:lang w:val="en-US" w:eastAsia="zh-CN"/>
        </w:rPr>
        <w:t xml:space="preserve"> </w:t>
      </w:r>
      <w:r>
        <w:rPr>
          <w:rFonts w:hint="eastAsia"/>
          <w:lang w:val="en-US" w:eastAsia="zh-CN"/>
        </w:rPr>
        <w:t>O2 and the number of subband</w:t>
      </w:r>
      <w:r>
        <w:rPr>
          <w:lang w:val="en-US" w:eastAsia="zh-CN"/>
        </w:rPr>
        <w:t>s</w:t>
      </w:r>
      <w:r>
        <w:rPr>
          <w:rFonts w:hint="eastAsia"/>
          <w:lang w:val="en-US" w:eastAsia="zh-CN"/>
        </w:rPr>
        <w:t>. If multiple PMIs need to be reported</w:t>
      </w:r>
      <w:r>
        <w:rPr>
          <w:lang w:val="en-US" w:eastAsia="zh-CN"/>
        </w:rPr>
        <w:t xml:space="preserve"> for multi-CSI</w:t>
      </w:r>
      <w:r>
        <w:rPr>
          <w:rFonts w:hint="eastAsia"/>
          <w:lang w:val="en-US" w:eastAsia="zh-CN"/>
        </w:rPr>
        <w:t>, the overhead is large.</w:t>
      </w:r>
      <w:bookmarkEnd w:id="80"/>
      <w:bookmarkEnd w:id="81"/>
      <w:bookmarkEnd w:id="82"/>
      <w:bookmarkEnd w:id="83"/>
    </w:p>
    <w:p>
      <w:pPr>
        <w:spacing w:before="120" w:after="120"/>
      </w:pPr>
      <w:r>
        <w:rPr>
          <w:rFonts w:hint="eastAsia"/>
        </w:rPr>
        <w:t xml:space="preserve">Hence, the </w:t>
      </w:r>
      <w:r>
        <w:t>compression</w:t>
      </w:r>
      <w:r>
        <w:rPr>
          <w:rFonts w:hint="eastAsia"/>
        </w:rPr>
        <w:t xml:space="preserve"> </w:t>
      </w:r>
      <w:r>
        <w:t xml:space="preserve">of </w:t>
      </w:r>
      <w:r>
        <w:rPr>
          <w:rFonts w:hint="eastAsia"/>
        </w:rPr>
        <w:t xml:space="preserve">PMI </w:t>
      </w:r>
      <w:r>
        <w:t>payload is beneficial to UCI overhead reduction</w:t>
      </w:r>
      <w:r>
        <w:rPr>
          <w:rFonts w:hint="eastAsia"/>
        </w:rPr>
        <w:t xml:space="preserve">. In the design of precoding matrix, each row corresponds to a CSI-RS port. If a subset ports are used for CSI </w:t>
      </w:r>
      <w:r>
        <w:t>measurement with the help of resource configuration of A1-2</w:t>
      </w:r>
      <w:r>
        <w:rPr>
          <w:rFonts w:hint="eastAsia"/>
        </w:rPr>
        <w:t xml:space="preserve">, </w:t>
      </w:r>
      <w:r>
        <w:t>a promising solution to PMI overhead reduction is to derive the</w:t>
      </w:r>
      <w:r>
        <w:rPr>
          <w:rFonts w:hint="eastAsia"/>
        </w:rPr>
        <w:t xml:space="preserve"> </w:t>
      </w:r>
      <w:r>
        <w:t>PMI</w:t>
      </w:r>
      <w:r>
        <w:rPr>
          <w:rFonts w:hint="eastAsia"/>
        </w:rPr>
        <w:t xml:space="preserve"> </w:t>
      </w:r>
      <w:r>
        <w:t>of</w:t>
      </w:r>
      <w:r>
        <w:rPr>
          <w:rFonts w:hint="eastAsia"/>
        </w:rPr>
        <w:t xml:space="preserve"> smaller number of CSI-RS ports</w:t>
      </w:r>
      <w:r>
        <w:t xml:space="preserve"> via a sub-matrix of the </w:t>
      </w:r>
      <w:r>
        <w:rPr>
          <w:rFonts w:hint="eastAsia"/>
        </w:rPr>
        <w:t>precoding matrix</w:t>
      </w:r>
      <w:r>
        <w:t xml:space="preserve"> corresponding a larger number of ports.</w:t>
      </w:r>
    </w:p>
    <w:p>
      <w:pPr>
        <w:pStyle w:val="4"/>
        <w:numPr>
          <w:ilvl w:val="2"/>
          <w:numId w:val="9"/>
        </w:numPr>
        <w:spacing w:after="120"/>
        <w:ind w:right="210"/>
        <w:rPr>
          <w:rFonts w:ascii="Times New Roman" w:hAnsi="Times New Roman"/>
          <w:b/>
          <w:bCs/>
          <w:sz w:val="21"/>
          <w:szCs w:val="21"/>
        </w:rPr>
      </w:pPr>
      <w:r>
        <w:rPr>
          <w:rFonts w:hint="eastAsia" w:ascii="Times New Roman" w:hAnsi="Times New Roman"/>
          <w:b/>
          <w:bCs/>
          <w:sz w:val="21"/>
          <w:szCs w:val="21"/>
        </w:rPr>
        <w:t xml:space="preserve">Correlation between </w:t>
      </w:r>
      <w:r>
        <w:rPr>
          <w:rFonts w:hint="eastAsia" w:ascii="Times New Roman" w:hAnsi="Times New Roman" w:eastAsia="宋体"/>
          <w:b/>
          <w:bCs/>
          <w:sz w:val="21"/>
          <w:szCs w:val="21"/>
        </w:rPr>
        <w:t xml:space="preserve">precoding matrices </w:t>
      </w:r>
      <w:r>
        <w:rPr>
          <w:rFonts w:ascii="Times New Roman" w:hAnsi="Times New Roman"/>
          <w:b/>
          <w:bCs/>
          <w:sz w:val="21"/>
          <w:szCs w:val="21"/>
        </w:rPr>
        <w:t>of</w:t>
      </w:r>
      <w:r>
        <w:rPr>
          <w:rFonts w:hint="eastAsia" w:ascii="Times New Roman" w:hAnsi="Times New Roman"/>
          <w:b/>
          <w:bCs/>
          <w:sz w:val="21"/>
          <w:szCs w:val="21"/>
        </w:rPr>
        <w:t xml:space="preserve"> different port numbers</w:t>
      </w:r>
    </w:p>
    <w:p>
      <w:pPr>
        <w:spacing w:before="120" w:after="120"/>
      </w:pPr>
      <w:r>
        <w:rPr>
          <w:rFonts w:hint="eastAsia"/>
        </w:rPr>
        <w:t>In this section, the correlation</w:t>
      </w:r>
      <w:r>
        <w:t xml:space="preserve"> coefficient</w:t>
      </w:r>
      <w:r>
        <w:rPr>
          <w:rFonts w:hint="eastAsia"/>
        </w:rPr>
        <w:t xml:space="preserve"> between precoding </w:t>
      </w:r>
      <w:r>
        <w:rPr>
          <w:rFonts w:hint="eastAsia"/>
          <w:bCs/>
        </w:rPr>
        <w:t xml:space="preserve">matrices </w:t>
      </w:r>
      <w:r>
        <w:t>of</w:t>
      </w:r>
      <w:r>
        <w:rPr>
          <w:rFonts w:hint="eastAsia"/>
        </w:rPr>
        <w:t xml:space="preserve"> different of port numbers are </w:t>
      </w:r>
      <w:r>
        <w:t>evaluated</w:t>
      </w:r>
      <w:r>
        <w:rPr>
          <w:rFonts w:hint="eastAsia"/>
        </w:rPr>
        <w:t>.</w:t>
      </w:r>
    </w:p>
    <w:p>
      <w:pPr>
        <w:spacing w:before="120" w:after="120"/>
        <w:rPr>
          <w:color w:val="FF0000"/>
        </w:rPr>
      </w:pPr>
      <w:r>
        <w:t xml:space="preserve">The correlation coefficient shows the correlation between </w:t>
      </w:r>
      <w:r>
        <w:rPr>
          <w:rFonts w:hint="eastAsia"/>
        </w:rPr>
        <w:t xml:space="preserve">precoding </w:t>
      </w:r>
      <w:r>
        <w:rPr>
          <w:rFonts w:hint="eastAsia"/>
          <w:bCs/>
        </w:rPr>
        <w:t xml:space="preserve">matrices </w:t>
      </w:r>
      <w:r>
        <w:t>of</w:t>
      </w:r>
      <w:r>
        <w:rPr>
          <w:rFonts w:hint="eastAsia"/>
        </w:rPr>
        <w:t xml:space="preserve"> different of port numbers</w:t>
      </w:r>
      <w:r>
        <w:t>, and is computed by</w:t>
      </w:r>
      <w:r>
        <w:rPr>
          <w:rFonts w:hint="eastAsia"/>
        </w:rPr>
        <w:t xml:space="preserve"> </w:t>
      </w:r>
      <w:r>
        <w:rPr>
          <w:rFonts w:ascii="Arial" w:hAnsi="Arial" w:cs="Arial"/>
          <w:color w:val="4D4D4D"/>
          <w:position w:val="-12"/>
          <w:sz w:val="24"/>
          <w:szCs w:val="24"/>
          <w:shd w:val="clear" w:color="auto" w:fill="FFFFFF"/>
        </w:rPr>
        <w:object>
          <v:shape id="_x0000_i1059" o:spt="75" type="#_x0000_t75" style="height:18.55pt;width:97.65pt;" o:ole="t" filled="f" o:preferrelative="t" stroked="f" coordsize="21600,21600">
            <v:path/>
            <v:fill on="f" focussize="0,0"/>
            <v:stroke on="f" joinstyle="miter"/>
            <v:imagedata r:id="rId64" o:title=""/>
            <o:lock v:ext="edit" aspectratio="t"/>
            <w10:wrap type="none"/>
            <w10:anchorlock/>
          </v:shape>
          <o:OLEObject Type="Embed" ProgID="Equation.3" ShapeID="_x0000_i1059" DrawAspect="Content" ObjectID="_1468075759" r:id="rId63">
            <o:LockedField>false</o:LockedField>
          </o:OLEObject>
        </w:object>
      </w:r>
      <w:r>
        <w:rPr>
          <w:rFonts w:hint="eastAsia"/>
        </w:rPr>
        <w:t>, wherein C is the covariance matrix of Pa and Pb. Pa is the precoding matrix of a smaller number of ports derived by a precoding matrix of larger number of ports</w:t>
      </w:r>
      <w:r>
        <w:t xml:space="preserve"> </w:t>
      </w:r>
      <w:r>
        <w:rPr>
          <w:rFonts w:hint="eastAsia"/>
        </w:rPr>
        <w:t xml:space="preserve">(e.g., </w:t>
      </w:r>
      <w:r>
        <w:t xml:space="preserve">deriving precoding matrix of 16 ports from precoding matrix of </w:t>
      </w:r>
      <w:r>
        <w:rPr>
          <w:rFonts w:hint="eastAsia"/>
        </w:rPr>
        <w:t>32 ports), and Pb is the real precoding matrix of a smaller number of ports</w:t>
      </w:r>
      <w:r>
        <w:t xml:space="preserve"> </w:t>
      </w:r>
      <w:r>
        <w:rPr>
          <w:rFonts w:hint="eastAsia"/>
        </w:rPr>
        <w:t>(e.g, 16 ports).</w:t>
      </w:r>
    </w:p>
    <w:p>
      <w:pPr>
        <w:spacing w:before="120" w:after="120"/>
      </w:pPr>
      <w:r>
        <w:t xml:space="preserve">In the evaluation, it assumed that the gNB antenna configuration is adapted from </w:t>
      </w:r>
      <w:r>
        <w:rPr>
          <w:rFonts w:hint="eastAsia"/>
        </w:rPr>
        <w:t>32 ports</w:t>
      </w:r>
      <w:r>
        <w:t xml:space="preserve"> to 16</w:t>
      </w:r>
      <w:r>
        <w:rPr>
          <w:rFonts w:hint="eastAsia"/>
        </w:rPr>
        <w:t xml:space="preserve"> </w:t>
      </w:r>
      <w:r>
        <w:t xml:space="preserve">or 24 </w:t>
      </w:r>
      <w:r>
        <w:rPr>
          <w:rFonts w:hint="eastAsia"/>
        </w:rPr>
        <w:t>ports</w:t>
      </w:r>
      <w:r>
        <w:t xml:space="preserve">, where the muting pattern is shown in Figure 2, Figure 3 respectively. </w:t>
      </w:r>
    </w:p>
    <w:p>
      <w:pPr>
        <w:spacing w:before="120" w:after="120"/>
        <w:jc w:val="center"/>
      </w:pPr>
      <w:r>
        <w:drawing>
          <wp:inline distT="0" distB="0" distL="0" distR="0">
            <wp:extent cx="3271520" cy="940435"/>
            <wp:effectExtent l="0" t="0" r="5080" b="12065"/>
            <wp:docPr id="27" name="图片 27" descr="C:\Users\00206166\AppData\Local\Temp\ksohtml14640\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C:\Users\00206166\AppData\Local\Temp\ksohtml14640\wps1.jpg"/>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a:xfrm>
                      <a:off x="0" y="0"/>
                      <a:ext cx="3271520" cy="940435"/>
                    </a:xfrm>
                    <a:prstGeom prst="rect">
                      <a:avLst/>
                    </a:prstGeom>
                    <a:noFill/>
                    <a:ln>
                      <a:noFill/>
                    </a:ln>
                  </pic:spPr>
                </pic:pic>
              </a:graphicData>
            </a:graphic>
          </wp:inline>
        </w:drawing>
      </w:r>
    </w:p>
    <w:p>
      <w:pPr>
        <w:spacing w:before="120" w:after="120"/>
        <w:jc w:val="center"/>
      </w:pPr>
      <w:r>
        <w:rPr>
          <w:rFonts w:hint="eastAsia"/>
        </w:rPr>
        <w:t xml:space="preserve">Figure 2 </w:t>
      </w:r>
      <w:r>
        <w:rPr>
          <w:rFonts w:hint="eastAsia"/>
          <w:color w:val="000000"/>
        </w:rPr>
        <w:t>Antenna</w:t>
      </w:r>
      <w:r>
        <w:rPr>
          <w:color w:val="000000"/>
        </w:rPr>
        <w:t xml:space="preserve"> </w:t>
      </w:r>
      <w:r>
        <w:t>muting</w:t>
      </w:r>
      <w:r>
        <w:rPr>
          <w:rFonts w:hint="eastAsia"/>
          <w:color w:val="000000"/>
        </w:rPr>
        <w:t xml:space="preserve"> pattern</w:t>
      </w:r>
      <w:r>
        <w:rPr>
          <w:color w:val="000000"/>
        </w:rPr>
        <w:t xml:space="preserve"> 1: adaptation from </w:t>
      </w:r>
      <w:r>
        <w:rPr>
          <w:rFonts w:hint="eastAsia"/>
        </w:rPr>
        <w:t>32 ports</w:t>
      </w:r>
      <w:r>
        <w:t xml:space="preserve"> to 16 </w:t>
      </w:r>
      <w:r>
        <w:rPr>
          <w:rFonts w:hint="eastAsia"/>
        </w:rPr>
        <w:t>ports</w:t>
      </w:r>
    </w:p>
    <w:p>
      <w:pPr>
        <w:spacing w:before="120" w:after="120"/>
        <w:jc w:val="center"/>
      </w:pPr>
      <w:r>
        <w:drawing>
          <wp:inline distT="0" distB="0" distL="0" distR="0">
            <wp:extent cx="3400425" cy="968375"/>
            <wp:effectExtent l="0" t="0" r="0" b="3175"/>
            <wp:docPr id="74"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2"/>
                    <pic:cNvPicPr>
                      <a:picLocks noChangeAspect="1"/>
                    </pic:cNvPicPr>
                  </pic:nvPicPr>
                  <pic:blipFill>
                    <a:blip r:embed="rId66"/>
                    <a:stretch>
                      <a:fillRect/>
                    </a:stretch>
                  </pic:blipFill>
                  <pic:spPr>
                    <a:xfrm>
                      <a:off x="0" y="0"/>
                      <a:ext cx="3406691" cy="970698"/>
                    </a:xfrm>
                    <a:prstGeom prst="rect">
                      <a:avLst/>
                    </a:prstGeom>
                    <a:noFill/>
                    <a:ln>
                      <a:noFill/>
                    </a:ln>
                  </pic:spPr>
                </pic:pic>
              </a:graphicData>
            </a:graphic>
          </wp:inline>
        </w:drawing>
      </w:r>
    </w:p>
    <w:p>
      <w:pPr>
        <w:spacing w:before="120" w:after="120"/>
        <w:jc w:val="center"/>
      </w:pPr>
      <w:r>
        <w:rPr>
          <w:rFonts w:hint="eastAsia"/>
        </w:rPr>
        <w:t xml:space="preserve">Figure 3 </w:t>
      </w:r>
      <w:r>
        <w:rPr>
          <w:rFonts w:hint="eastAsia"/>
          <w:color w:val="000000"/>
        </w:rPr>
        <w:t xml:space="preserve">Antenna </w:t>
      </w:r>
      <w:r>
        <w:t>muting</w:t>
      </w:r>
      <w:r>
        <w:rPr>
          <w:rFonts w:hint="eastAsia"/>
          <w:color w:val="000000"/>
        </w:rPr>
        <w:t xml:space="preserve"> pattern </w:t>
      </w:r>
      <w:r>
        <w:rPr>
          <w:color w:val="000000"/>
        </w:rPr>
        <w:t xml:space="preserve">2: adaptation from </w:t>
      </w:r>
      <w:r>
        <w:rPr>
          <w:rFonts w:hint="eastAsia"/>
        </w:rPr>
        <w:t>32 ports</w:t>
      </w:r>
      <w:r>
        <w:t xml:space="preserve"> to 24 </w:t>
      </w:r>
      <w:r>
        <w:rPr>
          <w:rFonts w:hint="eastAsia"/>
        </w:rPr>
        <w:t>ports</w:t>
      </w:r>
    </w:p>
    <w:p>
      <w:pPr>
        <w:spacing w:before="120" w:after="120"/>
      </w:pPr>
      <w:r>
        <w:rPr>
          <w:rFonts w:hint="eastAsia"/>
        </w:rPr>
        <w:t xml:space="preserve">The </w:t>
      </w:r>
      <w:r>
        <w:t xml:space="preserve">evaluated correlation coefficient between </w:t>
      </w:r>
      <w:r>
        <w:rPr>
          <w:rFonts w:hint="eastAsia"/>
        </w:rPr>
        <w:t>matrix Pa</w:t>
      </w:r>
      <w:r>
        <w:t xml:space="preserve"> and </w:t>
      </w:r>
      <w:r>
        <w:rPr>
          <w:rFonts w:hint="eastAsia"/>
        </w:rPr>
        <w:t xml:space="preserve">matrix </w:t>
      </w:r>
      <w:r>
        <w:t xml:space="preserve">Pb for gNB antenna configuration adaption from </w:t>
      </w:r>
      <w:r>
        <w:rPr>
          <w:rFonts w:hint="eastAsia"/>
        </w:rPr>
        <w:t>32 ports</w:t>
      </w:r>
      <w:r>
        <w:t xml:space="preserve"> to 16</w:t>
      </w:r>
      <w:r>
        <w:rPr>
          <w:rFonts w:hint="eastAsia"/>
        </w:rPr>
        <w:t xml:space="preserve"> </w:t>
      </w:r>
      <w:r>
        <w:t xml:space="preserve">or 24 </w:t>
      </w:r>
      <w:r>
        <w:rPr>
          <w:rFonts w:hint="eastAsia"/>
        </w:rPr>
        <w:t>ports</w:t>
      </w:r>
      <w:r>
        <w:t xml:space="preserve"> are shown in Figure 4 and Figure 5, respectively. </w:t>
      </w:r>
      <w:r>
        <w:rPr>
          <w:rFonts w:hint="eastAsia"/>
        </w:rPr>
        <w:t xml:space="preserve">The rank is fixed in </w:t>
      </w:r>
      <w:r>
        <w:t>the</w:t>
      </w:r>
      <w:r>
        <w:rPr>
          <w:rFonts w:hint="eastAsia"/>
        </w:rPr>
        <w:t xml:space="preserve"> simulation</w:t>
      </w:r>
      <w:r>
        <w:t xml:space="preserve"> in this section.</w:t>
      </w:r>
    </w:p>
    <w:tbl>
      <w:tblPr>
        <w:tblStyle w:val="1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38"/>
        <w:gridCol w:w="493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38" w:type="dxa"/>
            <w:vAlign w:val="center"/>
          </w:tcPr>
          <w:p>
            <w:pPr>
              <w:spacing w:before="120" w:after="120"/>
              <w:jc w:val="center"/>
            </w:pPr>
            <w:r>
              <w:drawing>
                <wp:inline distT="0" distB="0" distL="114300" distR="114300">
                  <wp:extent cx="2882265" cy="2160270"/>
                  <wp:effectExtent l="0" t="0" r="0" b="0"/>
                  <wp:docPr id="3"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2"/>
                          <pic:cNvPicPr>
                            <a:picLocks noChangeAspect="1"/>
                          </pic:cNvPicPr>
                        </pic:nvPicPr>
                        <pic:blipFill>
                          <a:blip r:embed="rId67"/>
                          <a:stretch>
                            <a:fillRect/>
                          </a:stretch>
                        </pic:blipFill>
                        <pic:spPr>
                          <a:xfrm>
                            <a:off x="0" y="0"/>
                            <a:ext cx="2882265" cy="2160270"/>
                          </a:xfrm>
                          <a:prstGeom prst="rect">
                            <a:avLst/>
                          </a:prstGeom>
                          <a:noFill/>
                          <a:ln>
                            <a:noFill/>
                          </a:ln>
                        </pic:spPr>
                      </pic:pic>
                    </a:graphicData>
                  </a:graphic>
                </wp:inline>
              </w:drawing>
            </w:r>
          </w:p>
        </w:tc>
        <w:tc>
          <w:tcPr>
            <w:tcW w:w="4938" w:type="dxa"/>
            <w:vAlign w:val="center"/>
          </w:tcPr>
          <w:p>
            <w:pPr>
              <w:spacing w:before="120" w:after="120"/>
              <w:jc w:val="center"/>
            </w:pPr>
            <w:r>
              <w:drawing>
                <wp:inline distT="0" distB="0" distL="114300" distR="114300">
                  <wp:extent cx="2882265" cy="2160270"/>
                  <wp:effectExtent l="0" t="0" r="0" b="0"/>
                  <wp:docPr id="5"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3"/>
                          <pic:cNvPicPr>
                            <a:picLocks noChangeAspect="1"/>
                          </pic:cNvPicPr>
                        </pic:nvPicPr>
                        <pic:blipFill>
                          <a:blip r:embed="rId68"/>
                          <a:stretch>
                            <a:fillRect/>
                          </a:stretch>
                        </pic:blipFill>
                        <pic:spPr>
                          <a:xfrm>
                            <a:off x="0" y="0"/>
                            <a:ext cx="2882265" cy="2160270"/>
                          </a:xfrm>
                          <a:prstGeom prst="rect">
                            <a:avLst/>
                          </a:prstGeom>
                          <a:noFill/>
                          <a:ln>
                            <a:noFill/>
                          </a:ln>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38" w:type="dxa"/>
            <w:vAlign w:val="center"/>
          </w:tcPr>
          <w:p>
            <w:pPr>
              <w:pStyle w:val="16"/>
              <w:spacing w:before="120" w:after="120"/>
              <w:jc w:val="center"/>
            </w:pPr>
            <w:r>
              <w:rPr>
                <w:rFonts w:hint="eastAsia"/>
                <w:kern w:val="2"/>
                <w:sz w:val="18"/>
                <w:szCs w:val="16"/>
              </w:rPr>
              <w:t>(a) Rank = 1</w:t>
            </w:r>
          </w:p>
        </w:tc>
        <w:tc>
          <w:tcPr>
            <w:tcW w:w="4938" w:type="dxa"/>
            <w:vAlign w:val="center"/>
          </w:tcPr>
          <w:p>
            <w:pPr>
              <w:spacing w:before="120" w:after="120"/>
              <w:jc w:val="center"/>
            </w:pPr>
            <w:r>
              <w:rPr>
                <w:rFonts w:hint="eastAsia"/>
                <w:sz w:val="18"/>
                <w:szCs w:val="16"/>
              </w:rPr>
              <w:t>(b) Rank = 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38" w:type="dxa"/>
            <w:vAlign w:val="center"/>
          </w:tcPr>
          <w:p>
            <w:pPr>
              <w:pStyle w:val="16"/>
              <w:spacing w:before="120" w:after="120"/>
              <w:jc w:val="center"/>
              <w:rPr>
                <w:kern w:val="2"/>
                <w:sz w:val="18"/>
                <w:szCs w:val="16"/>
              </w:rPr>
            </w:pPr>
            <w:r>
              <w:drawing>
                <wp:inline distT="0" distB="0" distL="114300" distR="114300">
                  <wp:extent cx="2882265" cy="2160270"/>
                  <wp:effectExtent l="0" t="0" r="0" b="0"/>
                  <wp:docPr id="6"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4"/>
                          <pic:cNvPicPr>
                            <a:picLocks noChangeAspect="1"/>
                          </pic:cNvPicPr>
                        </pic:nvPicPr>
                        <pic:blipFill>
                          <a:blip r:embed="rId69"/>
                          <a:stretch>
                            <a:fillRect/>
                          </a:stretch>
                        </pic:blipFill>
                        <pic:spPr>
                          <a:xfrm>
                            <a:off x="0" y="0"/>
                            <a:ext cx="2882265" cy="2160270"/>
                          </a:xfrm>
                          <a:prstGeom prst="rect">
                            <a:avLst/>
                          </a:prstGeom>
                          <a:noFill/>
                          <a:ln>
                            <a:noFill/>
                          </a:ln>
                        </pic:spPr>
                      </pic:pic>
                    </a:graphicData>
                  </a:graphic>
                </wp:inline>
              </w:drawing>
            </w:r>
          </w:p>
        </w:tc>
        <w:tc>
          <w:tcPr>
            <w:tcW w:w="4938" w:type="dxa"/>
            <w:vAlign w:val="center"/>
          </w:tcPr>
          <w:p>
            <w:pPr>
              <w:spacing w:before="120" w:after="120"/>
              <w:jc w:val="center"/>
              <w:rPr>
                <w:sz w:val="18"/>
                <w:szCs w:val="16"/>
              </w:rPr>
            </w:pPr>
            <w:r>
              <w:drawing>
                <wp:inline distT="0" distB="0" distL="114300" distR="114300">
                  <wp:extent cx="2882265" cy="2160270"/>
                  <wp:effectExtent l="0" t="0" r="0" b="0"/>
                  <wp:docPr id="10"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5"/>
                          <pic:cNvPicPr>
                            <a:picLocks noChangeAspect="1"/>
                          </pic:cNvPicPr>
                        </pic:nvPicPr>
                        <pic:blipFill>
                          <a:blip r:embed="rId70"/>
                          <a:stretch>
                            <a:fillRect/>
                          </a:stretch>
                        </pic:blipFill>
                        <pic:spPr>
                          <a:xfrm>
                            <a:off x="0" y="0"/>
                            <a:ext cx="2882265" cy="2160270"/>
                          </a:xfrm>
                          <a:prstGeom prst="rect">
                            <a:avLst/>
                          </a:prstGeom>
                          <a:noFill/>
                          <a:ln>
                            <a:noFill/>
                          </a:ln>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38" w:type="dxa"/>
            <w:vAlign w:val="center"/>
          </w:tcPr>
          <w:p>
            <w:pPr>
              <w:pStyle w:val="16"/>
              <w:spacing w:before="120" w:after="120"/>
              <w:jc w:val="center"/>
              <w:rPr>
                <w:kern w:val="2"/>
              </w:rPr>
            </w:pPr>
            <w:r>
              <w:rPr>
                <w:rFonts w:hint="eastAsia"/>
                <w:kern w:val="2"/>
                <w:sz w:val="18"/>
                <w:szCs w:val="16"/>
              </w:rPr>
              <w:t>(c) Rank = 3</w:t>
            </w:r>
          </w:p>
        </w:tc>
        <w:tc>
          <w:tcPr>
            <w:tcW w:w="4938" w:type="dxa"/>
            <w:vAlign w:val="center"/>
          </w:tcPr>
          <w:p>
            <w:pPr>
              <w:spacing w:before="120" w:after="120"/>
              <w:jc w:val="center"/>
            </w:pPr>
            <w:r>
              <w:rPr>
                <w:rFonts w:hint="eastAsia"/>
                <w:sz w:val="18"/>
                <w:szCs w:val="16"/>
              </w:rPr>
              <w:t>(d) Rank = 4</w:t>
            </w:r>
          </w:p>
        </w:tc>
      </w:tr>
    </w:tbl>
    <w:p>
      <w:pPr>
        <w:spacing w:before="120" w:after="120"/>
        <w:jc w:val="center"/>
      </w:pPr>
      <w:r>
        <w:rPr>
          <w:rFonts w:hint="eastAsia"/>
          <w:sz w:val="18"/>
          <w:szCs w:val="16"/>
        </w:rPr>
        <w:t xml:space="preserve">Figure 4 </w:t>
      </w:r>
      <w:r>
        <w:rPr>
          <w:sz w:val="18"/>
          <w:szCs w:val="16"/>
        </w:rPr>
        <w:t>C</w:t>
      </w:r>
      <w:r>
        <w:rPr>
          <w:rFonts w:hint="eastAsia"/>
          <w:sz w:val="18"/>
          <w:szCs w:val="16"/>
        </w:rPr>
        <w:t>orrelation</w:t>
      </w:r>
      <w:r>
        <w:rPr>
          <w:sz w:val="18"/>
          <w:szCs w:val="16"/>
        </w:rPr>
        <w:t xml:space="preserve"> coefficient</w:t>
      </w:r>
      <w:r>
        <w:rPr>
          <w:rFonts w:hint="eastAsia"/>
          <w:sz w:val="18"/>
          <w:szCs w:val="16"/>
        </w:rPr>
        <w:t xml:space="preserve"> between 32 </w:t>
      </w:r>
      <w:r>
        <w:rPr>
          <w:sz w:val="18"/>
          <w:szCs w:val="16"/>
        </w:rPr>
        <w:t xml:space="preserve">port-precoding </w:t>
      </w:r>
      <w:r>
        <w:rPr>
          <w:rFonts w:hint="eastAsia"/>
          <w:sz w:val="18"/>
          <w:szCs w:val="16"/>
        </w:rPr>
        <w:t xml:space="preserve">matrices and 16 </w:t>
      </w:r>
      <w:r>
        <w:rPr>
          <w:sz w:val="18"/>
          <w:szCs w:val="16"/>
        </w:rPr>
        <w:t xml:space="preserve">port-precoding </w:t>
      </w:r>
      <w:r>
        <w:rPr>
          <w:rFonts w:hint="eastAsia"/>
          <w:sz w:val="18"/>
          <w:szCs w:val="16"/>
        </w:rPr>
        <w:t xml:space="preserve">matrices with </w:t>
      </w:r>
      <w:r>
        <w:rPr>
          <w:sz w:val="18"/>
          <w:szCs w:val="16"/>
        </w:rPr>
        <w:t>different</w:t>
      </w:r>
      <w:r>
        <w:rPr>
          <w:rFonts w:hint="eastAsia"/>
          <w:sz w:val="18"/>
          <w:szCs w:val="16"/>
        </w:rPr>
        <w:t xml:space="preserve"> Rank</w:t>
      </w:r>
      <w:r>
        <w:rPr>
          <w:sz w:val="18"/>
          <w:szCs w:val="16"/>
        </w:rPr>
        <w:t>s</w:t>
      </w:r>
    </w:p>
    <w:p>
      <w:pPr>
        <w:spacing w:before="120" w:after="120"/>
        <w:jc w:val="center"/>
        <w:rPr>
          <w:sz w:val="18"/>
          <w:szCs w:val="16"/>
        </w:rPr>
      </w:pPr>
    </w:p>
    <w:tbl>
      <w:tblPr>
        <w:tblStyle w:val="1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38"/>
        <w:gridCol w:w="493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38" w:type="dxa"/>
            <w:vAlign w:val="center"/>
          </w:tcPr>
          <w:p>
            <w:pPr>
              <w:spacing w:before="120" w:after="120"/>
              <w:jc w:val="center"/>
            </w:pPr>
            <w:r>
              <w:drawing>
                <wp:inline distT="0" distB="0" distL="114300" distR="114300">
                  <wp:extent cx="2881630" cy="2160270"/>
                  <wp:effectExtent l="0" t="0" r="0" b="0"/>
                  <wp:docPr id="11"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6"/>
                          <pic:cNvPicPr>
                            <a:picLocks noChangeAspect="1"/>
                          </pic:cNvPicPr>
                        </pic:nvPicPr>
                        <pic:blipFill>
                          <a:blip r:embed="rId71"/>
                          <a:stretch>
                            <a:fillRect/>
                          </a:stretch>
                        </pic:blipFill>
                        <pic:spPr>
                          <a:xfrm>
                            <a:off x="0" y="0"/>
                            <a:ext cx="2881630" cy="2160270"/>
                          </a:xfrm>
                          <a:prstGeom prst="rect">
                            <a:avLst/>
                          </a:prstGeom>
                          <a:noFill/>
                          <a:ln>
                            <a:noFill/>
                          </a:ln>
                        </pic:spPr>
                      </pic:pic>
                    </a:graphicData>
                  </a:graphic>
                </wp:inline>
              </w:drawing>
            </w:r>
          </w:p>
        </w:tc>
        <w:tc>
          <w:tcPr>
            <w:tcW w:w="4938" w:type="dxa"/>
            <w:vAlign w:val="center"/>
          </w:tcPr>
          <w:p>
            <w:pPr>
              <w:spacing w:before="120" w:after="120"/>
              <w:jc w:val="center"/>
            </w:pPr>
            <w:r>
              <w:drawing>
                <wp:inline distT="0" distB="0" distL="114300" distR="114300">
                  <wp:extent cx="2881630" cy="2160270"/>
                  <wp:effectExtent l="0" t="0" r="0" b="0"/>
                  <wp:docPr id="12"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7"/>
                          <pic:cNvPicPr>
                            <a:picLocks noChangeAspect="1"/>
                          </pic:cNvPicPr>
                        </pic:nvPicPr>
                        <pic:blipFill>
                          <a:blip r:embed="rId72"/>
                          <a:stretch>
                            <a:fillRect/>
                          </a:stretch>
                        </pic:blipFill>
                        <pic:spPr>
                          <a:xfrm>
                            <a:off x="0" y="0"/>
                            <a:ext cx="2881630" cy="2160270"/>
                          </a:xfrm>
                          <a:prstGeom prst="rect">
                            <a:avLst/>
                          </a:prstGeom>
                          <a:noFill/>
                          <a:ln>
                            <a:noFill/>
                          </a:ln>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38" w:type="dxa"/>
            <w:vAlign w:val="center"/>
          </w:tcPr>
          <w:p>
            <w:pPr>
              <w:pStyle w:val="16"/>
              <w:spacing w:before="120" w:after="120"/>
              <w:jc w:val="center"/>
              <w:rPr>
                <w:kern w:val="2"/>
              </w:rPr>
            </w:pPr>
            <w:r>
              <w:rPr>
                <w:rFonts w:hint="eastAsia"/>
                <w:kern w:val="2"/>
                <w:sz w:val="18"/>
                <w:szCs w:val="16"/>
              </w:rPr>
              <w:t>(a) Rank = 1</w:t>
            </w:r>
          </w:p>
        </w:tc>
        <w:tc>
          <w:tcPr>
            <w:tcW w:w="4938" w:type="dxa"/>
            <w:vAlign w:val="center"/>
          </w:tcPr>
          <w:p>
            <w:pPr>
              <w:spacing w:before="120" w:after="120"/>
              <w:jc w:val="center"/>
            </w:pPr>
            <w:r>
              <w:rPr>
                <w:rFonts w:hint="eastAsia"/>
                <w:sz w:val="18"/>
                <w:szCs w:val="16"/>
              </w:rPr>
              <w:t>(b) Rank = 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38" w:type="dxa"/>
            <w:vAlign w:val="center"/>
          </w:tcPr>
          <w:p>
            <w:pPr>
              <w:pStyle w:val="16"/>
              <w:spacing w:before="120" w:after="120"/>
              <w:jc w:val="center"/>
            </w:pPr>
            <w:r>
              <w:drawing>
                <wp:inline distT="0" distB="0" distL="114300" distR="114300">
                  <wp:extent cx="2881630" cy="2160270"/>
                  <wp:effectExtent l="0" t="0" r="0" b="0"/>
                  <wp:docPr id="42"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8"/>
                          <pic:cNvPicPr>
                            <a:picLocks noChangeAspect="1"/>
                          </pic:cNvPicPr>
                        </pic:nvPicPr>
                        <pic:blipFill>
                          <a:blip r:embed="rId73"/>
                          <a:stretch>
                            <a:fillRect/>
                          </a:stretch>
                        </pic:blipFill>
                        <pic:spPr>
                          <a:xfrm>
                            <a:off x="0" y="0"/>
                            <a:ext cx="2881630" cy="2160270"/>
                          </a:xfrm>
                          <a:prstGeom prst="rect">
                            <a:avLst/>
                          </a:prstGeom>
                          <a:noFill/>
                          <a:ln>
                            <a:noFill/>
                          </a:ln>
                        </pic:spPr>
                      </pic:pic>
                    </a:graphicData>
                  </a:graphic>
                </wp:inline>
              </w:drawing>
            </w:r>
          </w:p>
        </w:tc>
        <w:tc>
          <w:tcPr>
            <w:tcW w:w="4938" w:type="dxa"/>
            <w:vAlign w:val="center"/>
          </w:tcPr>
          <w:p>
            <w:pPr>
              <w:spacing w:before="120" w:after="120"/>
              <w:jc w:val="center"/>
            </w:pPr>
            <w:r>
              <w:drawing>
                <wp:inline distT="0" distB="0" distL="114300" distR="114300">
                  <wp:extent cx="2881630" cy="2160270"/>
                  <wp:effectExtent l="0" t="0" r="0" b="0"/>
                  <wp:docPr id="43"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9"/>
                          <pic:cNvPicPr>
                            <a:picLocks noChangeAspect="1"/>
                          </pic:cNvPicPr>
                        </pic:nvPicPr>
                        <pic:blipFill>
                          <a:blip r:embed="rId74"/>
                          <a:stretch>
                            <a:fillRect/>
                          </a:stretch>
                        </pic:blipFill>
                        <pic:spPr>
                          <a:xfrm>
                            <a:off x="0" y="0"/>
                            <a:ext cx="2881630" cy="2160270"/>
                          </a:xfrm>
                          <a:prstGeom prst="rect">
                            <a:avLst/>
                          </a:prstGeom>
                          <a:noFill/>
                          <a:ln>
                            <a:noFill/>
                          </a:ln>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38" w:type="dxa"/>
            <w:vAlign w:val="center"/>
          </w:tcPr>
          <w:p>
            <w:pPr>
              <w:pStyle w:val="16"/>
              <w:spacing w:before="120" w:after="120"/>
              <w:jc w:val="center"/>
            </w:pPr>
            <w:r>
              <w:rPr>
                <w:rFonts w:hint="eastAsia"/>
                <w:kern w:val="2"/>
                <w:sz w:val="18"/>
                <w:szCs w:val="16"/>
              </w:rPr>
              <w:t>(c) Rank = 3</w:t>
            </w:r>
          </w:p>
        </w:tc>
        <w:tc>
          <w:tcPr>
            <w:tcW w:w="4938" w:type="dxa"/>
            <w:vAlign w:val="center"/>
          </w:tcPr>
          <w:p>
            <w:pPr>
              <w:spacing w:before="120" w:after="120"/>
              <w:jc w:val="center"/>
            </w:pPr>
            <w:r>
              <w:rPr>
                <w:rFonts w:hint="eastAsia"/>
                <w:sz w:val="18"/>
                <w:szCs w:val="16"/>
              </w:rPr>
              <w:t>(d) Rank = 4</w:t>
            </w:r>
          </w:p>
        </w:tc>
      </w:tr>
    </w:tbl>
    <w:p>
      <w:pPr>
        <w:spacing w:before="120" w:after="120"/>
        <w:jc w:val="center"/>
        <w:rPr>
          <w:sz w:val="18"/>
          <w:szCs w:val="16"/>
        </w:rPr>
      </w:pPr>
      <w:r>
        <w:rPr>
          <w:rFonts w:hint="eastAsia"/>
          <w:sz w:val="18"/>
          <w:szCs w:val="16"/>
        </w:rPr>
        <w:t>Figure 5 Correlation</w:t>
      </w:r>
      <w:r>
        <w:rPr>
          <w:sz w:val="18"/>
          <w:szCs w:val="16"/>
        </w:rPr>
        <w:t xml:space="preserve"> coefficient</w:t>
      </w:r>
      <w:r>
        <w:rPr>
          <w:rFonts w:hint="eastAsia"/>
          <w:sz w:val="18"/>
          <w:szCs w:val="16"/>
        </w:rPr>
        <w:t xml:space="preserve"> between 32 </w:t>
      </w:r>
      <w:r>
        <w:rPr>
          <w:sz w:val="18"/>
          <w:szCs w:val="16"/>
        </w:rPr>
        <w:t xml:space="preserve">port-precoding </w:t>
      </w:r>
      <w:r>
        <w:rPr>
          <w:rFonts w:hint="eastAsia"/>
          <w:sz w:val="18"/>
          <w:szCs w:val="16"/>
        </w:rPr>
        <w:t xml:space="preserve">matrices and 24 </w:t>
      </w:r>
      <w:r>
        <w:rPr>
          <w:sz w:val="18"/>
          <w:szCs w:val="16"/>
        </w:rPr>
        <w:t xml:space="preserve">port-precoding </w:t>
      </w:r>
      <w:r>
        <w:rPr>
          <w:rFonts w:hint="eastAsia"/>
          <w:sz w:val="18"/>
          <w:szCs w:val="16"/>
        </w:rPr>
        <w:t xml:space="preserve">matrices with </w:t>
      </w:r>
      <w:r>
        <w:rPr>
          <w:sz w:val="18"/>
          <w:szCs w:val="16"/>
        </w:rPr>
        <w:t>different</w:t>
      </w:r>
      <w:r>
        <w:rPr>
          <w:rFonts w:hint="eastAsia"/>
          <w:sz w:val="18"/>
          <w:szCs w:val="16"/>
        </w:rPr>
        <w:t xml:space="preserve"> Rank</w:t>
      </w:r>
      <w:r>
        <w:rPr>
          <w:sz w:val="18"/>
          <w:szCs w:val="16"/>
        </w:rPr>
        <w:t>s</w:t>
      </w:r>
    </w:p>
    <w:p>
      <w:pPr>
        <w:spacing w:before="120" w:after="120"/>
        <w:rPr>
          <w:bCs/>
        </w:rPr>
      </w:pPr>
      <w:r>
        <w:rPr>
          <w:rFonts w:hint="eastAsia"/>
        </w:rPr>
        <w:t>According to the simulation results</w:t>
      </w:r>
      <w:r>
        <w:t xml:space="preserve"> </w:t>
      </w:r>
      <w:r>
        <w:rPr>
          <w:rFonts w:hint="eastAsia"/>
          <w:szCs w:val="21"/>
        </w:rPr>
        <w:t>in</w:t>
      </w:r>
      <w:r>
        <w:rPr>
          <w:szCs w:val="21"/>
        </w:rPr>
        <w:t xml:space="preserve"> </w:t>
      </w:r>
      <w:r>
        <w:rPr>
          <w:rFonts w:hint="eastAsia"/>
          <w:szCs w:val="21"/>
        </w:rPr>
        <w:t>Fi</w:t>
      </w:r>
      <w:r>
        <w:rPr>
          <w:szCs w:val="21"/>
        </w:rPr>
        <w:t>gure</w:t>
      </w:r>
      <w:r>
        <w:rPr>
          <w:rFonts w:hint="eastAsia"/>
          <w:szCs w:val="21"/>
        </w:rPr>
        <w:t xml:space="preserve"> 4</w:t>
      </w:r>
      <w:r>
        <w:rPr>
          <w:szCs w:val="21"/>
        </w:rPr>
        <w:t xml:space="preserve"> and Figure </w:t>
      </w:r>
      <w:r>
        <w:rPr>
          <w:rFonts w:hint="eastAsia"/>
          <w:szCs w:val="21"/>
        </w:rPr>
        <w:t>5</w:t>
      </w:r>
      <w:r>
        <w:rPr>
          <w:rFonts w:hint="eastAsia"/>
        </w:rPr>
        <w:t xml:space="preserve">, </w:t>
      </w:r>
      <w:r>
        <w:t xml:space="preserve">it can be seen </w:t>
      </w:r>
      <w:r>
        <w:rPr>
          <w:rFonts w:hint="eastAsia"/>
        </w:rPr>
        <w:t>for precoding matrices w</w:t>
      </w:r>
      <w:r>
        <w:rPr>
          <w:rFonts w:hint="eastAsia"/>
          <w:szCs w:val="21"/>
        </w:rPr>
        <w:t xml:space="preserve">ith 32 </w:t>
      </w:r>
      <w:r>
        <w:rPr>
          <w:szCs w:val="21"/>
        </w:rPr>
        <w:t>ports and</w:t>
      </w:r>
      <w:r>
        <w:rPr>
          <w:rFonts w:hint="eastAsia"/>
          <w:szCs w:val="21"/>
        </w:rPr>
        <w:t>16 por</w:t>
      </w:r>
      <w:r>
        <w:rPr>
          <w:rFonts w:hint="eastAsia"/>
        </w:rPr>
        <w:t>ts, the pro</w:t>
      </w:r>
      <w:r>
        <w:rPr>
          <w:bCs/>
        </w:rPr>
        <w:t>bability of the correlation coefficient that is greater than 0.6 is about 90%</w:t>
      </w:r>
      <w:r>
        <w:rPr>
          <w:rFonts w:hint="eastAsia"/>
          <w:bCs/>
        </w:rPr>
        <w:t xml:space="preserve"> for any rank of 1,2,3,4</w:t>
      </w:r>
      <w:r>
        <w:rPr>
          <w:bCs/>
        </w:rPr>
        <w:t>.</w:t>
      </w:r>
      <w:r>
        <w:rPr>
          <w:rFonts w:hint="eastAsia"/>
          <w:bCs/>
        </w:rPr>
        <w:t xml:space="preserve"> For </w:t>
      </w:r>
      <w:r>
        <w:rPr>
          <w:rFonts w:hint="eastAsia"/>
        </w:rPr>
        <w:t>precoding matrices wit</w:t>
      </w:r>
      <w:r>
        <w:rPr>
          <w:bCs/>
        </w:rPr>
        <w:t>h 32 ports and 24</w:t>
      </w:r>
      <w:r>
        <w:rPr>
          <w:rFonts w:hint="eastAsia"/>
        </w:rPr>
        <w:t xml:space="preserve"> port</w:t>
      </w:r>
      <w:r>
        <w:t>s</w:t>
      </w:r>
      <w:r>
        <w:rPr>
          <w:rFonts w:hint="eastAsia"/>
        </w:rPr>
        <w:t xml:space="preserve">, </w:t>
      </w:r>
      <w:r>
        <w:rPr>
          <w:bCs/>
        </w:rPr>
        <w:t xml:space="preserve">the probability of the correlation coefficient that is greater than 0.6 is about </w:t>
      </w:r>
      <w:r>
        <w:rPr>
          <w:rFonts w:hint="eastAsia"/>
          <w:bCs/>
        </w:rPr>
        <w:t>8</w:t>
      </w:r>
      <w:r>
        <w:rPr>
          <w:bCs/>
        </w:rPr>
        <w:t>0%</w:t>
      </w:r>
      <w:r>
        <w:rPr>
          <w:rFonts w:hint="eastAsia"/>
          <w:bCs/>
        </w:rPr>
        <w:t xml:space="preserve"> for </w:t>
      </w:r>
      <w:r>
        <w:rPr>
          <w:bCs/>
        </w:rPr>
        <w:t xml:space="preserve">the </w:t>
      </w:r>
      <w:r>
        <w:rPr>
          <w:rFonts w:hint="eastAsia"/>
          <w:bCs/>
        </w:rPr>
        <w:t xml:space="preserve">rank of 1 or 2, </w:t>
      </w:r>
      <w:r>
        <w:rPr>
          <w:bCs/>
        </w:rPr>
        <w:t xml:space="preserve">the probability of the correlation coefficient that is greater than 0.6 is about </w:t>
      </w:r>
      <w:r>
        <w:rPr>
          <w:rFonts w:hint="eastAsia"/>
          <w:bCs/>
        </w:rPr>
        <w:t>7</w:t>
      </w:r>
      <w:r>
        <w:rPr>
          <w:bCs/>
        </w:rPr>
        <w:t>0%</w:t>
      </w:r>
      <w:r>
        <w:rPr>
          <w:rFonts w:hint="eastAsia"/>
          <w:bCs/>
        </w:rPr>
        <w:t xml:space="preserve"> for </w:t>
      </w:r>
      <w:r>
        <w:rPr>
          <w:bCs/>
        </w:rPr>
        <w:t xml:space="preserve">the </w:t>
      </w:r>
      <w:r>
        <w:rPr>
          <w:rFonts w:hint="eastAsia"/>
          <w:bCs/>
        </w:rPr>
        <w:t>rank of 3 or 4</w:t>
      </w:r>
      <w:r>
        <w:rPr>
          <w:bCs/>
        </w:rPr>
        <w:t>.</w:t>
      </w:r>
      <w:r>
        <w:rPr>
          <w:rFonts w:hint="eastAsia"/>
          <w:bCs/>
        </w:rPr>
        <w:t xml:space="preserve"> The correlation between </w:t>
      </w:r>
      <w:r>
        <w:rPr>
          <w:bCs/>
        </w:rPr>
        <w:t>these</w:t>
      </w:r>
      <w:r>
        <w:rPr>
          <w:rFonts w:hint="eastAsia"/>
        </w:rPr>
        <w:t xml:space="preserve"> precoding matrices </w:t>
      </w:r>
      <w:r>
        <w:rPr>
          <w:rFonts w:hint="eastAsia"/>
          <w:bCs/>
        </w:rPr>
        <w:t>is high.</w:t>
      </w:r>
    </w:p>
    <w:p>
      <w:pPr>
        <w:pStyle w:val="30"/>
        <w:spacing w:before="120" w:after="120"/>
        <w:rPr>
          <w:lang w:val="en-US" w:eastAsia="zh-CN"/>
        </w:rPr>
      </w:pPr>
      <w:bookmarkStart w:id="84" w:name="_Toc1040"/>
      <w:r>
        <w:rPr>
          <w:rFonts w:hint="eastAsia"/>
          <w:lang w:val="en-US" w:eastAsia="zh-CN"/>
        </w:rPr>
        <w:t xml:space="preserve">The correlation between </w:t>
      </w:r>
      <w:r>
        <w:rPr>
          <w:lang w:val="en-US" w:eastAsia="zh-CN"/>
        </w:rPr>
        <w:t>the</w:t>
      </w:r>
      <w:r>
        <w:rPr>
          <w:rFonts w:hint="eastAsia"/>
          <w:lang w:val="en-US" w:eastAsia="zh-CN"/>
        </w:rPr>
        <w:t xml:space="preserve"> precoding matrices </w:t>
      </w:r>
      <w:r>
        <w:rPr>
          <w:lang w:val="en-US" w:eastAsia="zh-CN"/>
        </w:rPr>
        <w:t>of different CSI-RS port numbers</w:t>
      </w:r>
      <w:r>
        <w:rPr>
          <w:rFonts w:hint="eastAsia"/>
          <w:lang w:val="en-US" w:eastAsia="zh-CN"/>
        </w:rPr>
        <w:t xml:space="preserve"> is high.</w:t>
      </w:r>
      <w:bookmarkEnd w:id="84"/>
      <w:r>
        <w:rPr>
          <w:rFonts w:hint="eastAsia"/>
          <w:lang w:val="en-US" w:eastAsia="zh-CN"/>
        </w:rPr>
        <w:t xml:space="preserve"> </w:t>
      </w:r>
    </w:p>
    <w:p>
      <w:pPr>
        <w:spacing w:before="120" w:after="120"/>
        <w:jc w:val="center"/>
      </w:pPr>
    </w:p>
    <w:p>
      <w:pPr>
        <w:pStyle w:val="4"/>
        <w:numPr>
          <w:ilvl w:val="2"/>
          <w:numId w:val="9"/>
        </w:numPr>
        <w:spacing w:after="120"/>
        <w:ind w:right="210"/>
        <w:rPr>
          <w:rFonts w:ascii="Times New Roman" w:hAnsi="Times New Roman"/>
          <w:b/>
          <w:bCs/>
          <w:sz w:val="21"/>
          <w:szCs w:val="21"/>
        </w:rPr>
      </w:pPr>
      <w:r>
        <w:rPr>
          <w:rFonts w:hint="eastAsia" w:ascii="Times New Roman" w:hAnsi="Times New Roman"/>
          <w:b/>
          <w:bCs/>
          <w:sz w:val="21"/>
          <w:szCs w:val="21"/>
        </w:rPr>
        <w:t xml:space="preserve">System performance using the correlation between the two precoding matrices </w:t>
      </w:r>
    </w:p>
    <w:p>
      <w:pPr>
        <w:spacing w:before="120" w:after="120"/>
      </w:pPr>
      <w:r>
        <w:rPr>
          <w:rFonts w:hint="eastAsia"/>
        </w:rPr>
        <w:t>Since</w:t>
      </w:r>
      <w:r>
        <w:t xml:space="preserve"> the </w:t>
      </w:r>
      <w:r>
        <w:rPr>
          <w:rFonts w:hint="eastAsia"/>
        </w:rPr>
        <w:t xml:space="preserve">precoding matrices </w:t>
      </w:r>
      <w:r>
        <w:t xml:space="preserve">of different CSI-RS port numbers </w:t>
      </w:r>
      <w:r>
        <w:rPr>
          <w:rFonts w:hint="eastAsia"/>
        </w:rPr>
        <w:t>are</w:t>
      </w:r>
      <w:r>
        <w:t xml:space="preserve"> highly correlated</w:t>
      </w:r>
      <w:r>
        <w:rPr>
          <w:rFonts w:hint="eastAsia"/>
        </w:rPr>
        <w:t>, the signaling overhead of PMI can be saved by</w:t>
      </w:r>
      <w:r>
        <w:t xml:space="preserve"> using one PMI, i.e.,</w:t>
      </w:r>
      <w:r>
        <w:rPr>
          <w:rFonts w:hint="eastAsia"/>
        </w:rPr>
        <w:t xml:space="preserve"> not transmit</w:t>
      </w:r>
      <w:r>
        <w:t>ting</w:t>
      </w:r>
      <w:r>
        <w:rPr>
          <w:rFonts w:hint="eastAsia"/>
        </w:rPr>
        <w:t xml:space="preserve"> the PMI with smaller number of ports. T</w:t>
      </w:r>
      <w:r>
        <w:t>he throughput performance of exploiting this correlation are evaluation in both LLS with fixed rank and SLS</w:t>
      </w:r>
      <w:r>
        <w:rPr>
          <w:rFonts w:hint="eastAsia"/>
        </w:rPr>
        <w:t xml:space="preserve"> with</w:t>
      </w:r>
      <w:r>
        <w:t xml:space="preserve"> flexible rank.</w:t>
      </w:r>
    </w:p>
    <w:p>
      <w:pPr>
        <w:numPr>
          <w:ilvl w:val="0"/>
          <w:numId w:val="14"/>
        </w:numPr>
        <w:spacing w:before="120" w:after="120"/>
        <w:rPr>
          <w:b/>
          <w:bCs/>
        </w:rPr>
      </w:pPr>
      <w:r>
        <w:rPr>
          <w:rFonts w:hint="eastAsia"/>
          <w:b/>
          <w:bCs/>
        </w:rPr>
        <w:t>Fixed rank</w:t>
      </w:r>
    </w:p>
    <w:p>
      <w:pPr>
        <w:spacing w:before="120" w:after="120"/>
        <w:rPr>
          <w:b/>
        </w:rPr>
      </w:pPr>
      <w:r>
        <w:t>For</w:t>
      </w:r>
      <w:r>
        <w:rPr>
          <w:rFonts w:hint="eastAsia"/>
        </w:rPr>
        <w:t xml:space="preserve"> evaluation</w:t>
      </w:r>
      <w:r>
        <w:t xml:space="preserve"> results in Table 2</w:t>
      </w:r>
      <w:r>
        <w:rPr>
          <w:rFonts w:hint="eastAsia"/>
        </w:rPr>
        <w:t xml:space="preserve">, Pa is a precoding matrix </w:t>
      </w:r>
      <w:r>
        <w:t>of 16 ports</w:t>
      </w:r>
      <w:r>
        <w:rPr>
          <w:rFonts w:hint="eastAsia"/>
        </w:rPr>
        <w:t xml:space="preserve"> which is </w:t>
      </w:r>
      <w:r>
        <w:t xml:space="preserve">derived </w:t>
      </w:r>
      <w:r>
        <w:rPr>
          <w:rFonts w:hint="eastAsia"/>
        </w:rPr>
        <w:t>f</w:t>
      </w:r>
      <w:r>
        <w:t xml:space="preserve">rom </w:t>
      </w:r>
      <w:r>
        <w:rPr>
          <w:rFonts w:hint="eastAsia"/>
        </w:rPr>
        <w:t>a</w:t>
      </w:r>
      <w:r>
        <w:t xml:space="preserve"> sub-matrix of the </w:t>
      </w:r>
      <w:r>
        <w:rPr>
          <w:rFonts w:hint="eastAsia"/>
        </w:rPr>
        <w:t xml:space="preserve">precoding matrix </w:t>
      </w:r>
      <w:r>
        <w:t xml:space="preserve">of </w:t>
      </w:r>
      <w:r>
        <w:rPr>
          <w:rFonts w:hint="eastAsia"/>
        </w:rPr>
        <w:t>32</w:t>
      </w:r>
      <w:r>
        <w:t xml:space="preserve"> ports,</w:t>
      </w:r>
      <w:r>
        <w:rPr>
          <w:rFonts w:hint="eastAsia"/>
        </w:rPr>
        <w:t xml:space="preserve"> Pb is real precoding matrix reported by PMI of 16 ports CSI-RS.</w:t>
      </w:r>
      <w:r>
        <w:t xml:space="preserve"> For</w:t>
      </w:r>
      <w:r>
        <w:rPr>
          <w:rFonts w:hint="eastAsia"/>
        </w:rPr>
        <w:t xml:space="preserve"> evaluation</w:t>
      </w:r>
      <w:r>
        <w:t xml:space="preserve"> results in Table 3</w:t>
      </w:r>
      <w:r>
        <w:rPr>
          <w:rFonts w:hint="eastAsia"/>
        </w:rPr>
        <w:t>, Pa is a precoding matrix</w:t>
      </w:r>
      <w:r>
        <w:t xml:space="preserve"> of 24 ports</w:t>
      </w:r>
      <w:r>
        <w:rPr>
          <w:rFonts w:hint="eastAsia"/>
        </w:rPr>
        <w:t xml:space="preserve"> which is </w:t>
      </w:r>
      <w:r>
        <w:t xml:space="preserve">derived </w:t>
      </w:r>
      <w:r>
        <w:rPr>
          <w:rFonts w:hint="eastAsia"/>
        </w:rPr>
        <w:t>f</w:t>
      </w:r>
      <w:r>
        <w:t xml:space="preserve">rom </w:t>
      </w:r>
      <w:r>
        <w:rPr>
          <w:rFonts w:hint="eastAsia"/>
        </w:rPr>
        <w:t>a</w:t>
      </w:r>
      <w:r>
        <w:t xml:space="preserve"> sub-matrix of the </w:t>
      </w:r>
      <w:r>
        <w:rPr>
          <w:rFonts w:hint="eastAsia"/>
        </w:rPr>
        <w:t xml:space="preserve">precoding matrix </w:t>
      </w:r>
      <w:r>
        <w:t xml:space="preserve">of </w:t>
      </w:r>
      <w:r>
        <w:rPr>
          <w:rFonts w:hint="eastAsia"/>
        </w:rPr>
        <w:t>32</w:t>
      </w:r>
      <w:r>
        <w:t xml:space="preserve"> ports,</w:t>
      </w:r>
      <w:r>
        <w:rPr>
          <w:rFonts w:hint="eastAsia"/>
        </w:rPr>
        <w:t xml:space="preserve"> Pb is real precoding matrix reported by PMI of </w:t>
      </w:r>
      <w:r>
        <w:t>24</w:t>
      </w:r>
      <w:r>
        <w:rPr>
          <w:rFonts w:hint="eastAsia"/>
        </w:rPr>
        <w:t xml:space="preserve"> ports CSI-RS.</w:t>
      </w:r>
      <w:r>
        <w:t xml:space="preserve"> The corresponding throughput performance is also provided in Figure A1 and Figure A2 in Appendix.</w:t>
      </w:r>
    </w:p>
    <w:p>
      <w:pPr>
        <w:spacing w:before="120" w:after="120"/>
        <w:jc w:val="center"/>
        <w:rPr>
          <w:b/>
        </w:rPr>
      </w:pPr>
      <w:r>
        <w:rPr>
          <w:b/>
        </w:rPr>
        <w:t xml:space="preserve">Table </w:t>
      </w:r>
      <w:r>
        <w:rPr>
          <w:rFonts w:hint="eastAsia"/>
          <w:b/>
        </w:rPr>
        <w:t>2</w:t>
      </w:r>
      <w:r>
        <w:rPr>
          <w:b/>
        </w:rPr>
        <w:t xml:space="preserve">. </w:t>
      </w:r>
      <w:r>
        <w:rPr>
          <w:rFonts w:hint="eastAsia"/>
          <w:b/>
        </w:rPr>
        <w:t xml:space="preserve">Throughput </w:t>
      </w:r>
      <w:r>
        <w:rPr>
          <w:b/>
        </w:rPr>
        <w:t xml:space="preserve">loss of </w:t>
      </w:r>
      <w:r>
        <w:rPr>
          <w:rFonts w:hint="eastAsia"/>
          <w:b/>
        </w:rPr>
        <w:t>Pa</w:t>
      </w:r>
      <w:r>
        <w:rPr>
          <w:b/>
        </w:rPr>
        <w:t xml:space="preserve"> compared with </w:t>
      </w:r>
      <w:r>
        <w:rPr>
          <w:rFonts w:hint="eastAsia"/>
          <w:b/>
        </w:rPr>
        <w:t>Pb for</w:t>
      </w:r>
      <w:r>
        <w:rPr>
          <w:b/>
        </w:rPr>
        <w:t xml:space="preserve"> 16 ports </w:t>
      </w:r>
      <w:r>
        <w:rPr>
          <w:rFonts w:hint="eastAsia"/>
          <w:b/>
        </w:rPr>
        <w:t>(LLS, fixed rank)</w:t>
      </w:r>
    </w:p>
    <w:tbl>
      <w:tblPr>
        <w:tblStyle w:val="19"/>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06"/>
        <w:gridCol w:w="904"/>
        <w:gridCol w:w="981"/>
        <w:gridCol w:w="981"/>
        <w:gridCol w:w="1019"/>
        <w:gridCol w:w="1019"/>
        <w:gridCol w:w="1019"/>
        <w:gridCol w:w="1019"/>
        <w:gridCol w:w="1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3" w:hRule="atLeast"/>
        </w:trPr>
        <w:tc>
          <w:tcPr>
            <w:tcW w:w="965" w:type="pct"/>
            <w:tcBorders>
              <w:tl2br w:val="single" w:color="auto" w:sz="4" w:space="0"/>
            </w:tcBorders>
          </w:tcPr>
          <w:p>
            <w:pPr>
              <w:snapToGrid w:val="0"/>
              <w:spacing w:before="120" w:after="120"/>
              <w:ind w:firstLine="735" w:firstLineChars="350"/>
              <w:rPr>
                <w:bCs/>
              </w:rPr>
            </w:pPr>
            <w:r>
              <w:rPr>
                <w:bCs/>
              </w:rPr>
              <w:t>SNR(dB)</w:t>
            </w:r>
          </w:p>
          <w:p>
            <w:pPr>
              <w:snapToGrid w:val="0"/>
              <w:spacing w:before="120" w:after="120"/>
              <w:rPr>
                <w:bCs/>
              </w:rPr>
            </w:pPr>
            <w:r>
              <w:rPr>
                <w:rFonts w:hint="eastAsia"/>
                <w:bCs/>
              </w:rPr>
              <w:t>cases</w:t>
            </w:r>
          </w:p>
        </w:tc>
        <w:tc>
          <w:tcPr>
            <w:tcW w:w="458" w:type="pct"/>
            <w:vAlign w:val="center"/>
          </w:tcPr>
          <w:p>
            <w:pPr>
              <w:spacing w:before="120" w:after="120"/>
              <w:jc w:val="center"/>
              <w:rPr>
                <w:bCs/>
              </w:rPr>
            </w:pPr>
            <w:r>
              <w:rPr>
                <w:bCs/>
              </w:rPr>
              <w:t>-5</w:t>
            </w:r>
          </w:p>
        </w:tc>
        <w:tc>
          <w:tcPr>
            <w:tcW w:w="497" w:type="pct"/>
            <w:vAlign w:val="center"/>
          </w:tcPr>
          <w:p>
            <w:pPr>
              <w:spacing w:before="120" w:after="120"/>
              <w:jc w:val="center"/>
              <w:rPr>
                <w:bCs/>
              </w:rPr>
            </w:pPr>
            <w:r>
              <w:rPr>
                <w:bCs/>
              </w:rPr>
              <w:t>0</w:t>
            </w:r>
          </w:p>
        </w:tc>
        <w:tc>
          <w:tcPr>
            <w:tcW w:w="497" w:type="pct"/>
            <w:vAlign w:val="center"/>
          </w:tcPr>
          <w:p>
            <w:pPr>
              <w:spacing w:before="120" w:after="120"/>
              <w:jc w:val="center"/>
              <w:rPr>
                <w:bCs/>
              </w:rPr>
            </w:pPr>
            <w:r>
              <w:rPr>
                <w:bCs/>
              </w:rPr>
              <w:t>5</w:t>
            </w:r>
          </w:p>
        </w:tc>
        <w:tc>
          <w:tcPr>
            <w:tcW w:w="516" w:type="pct"/>
            <w:vAlign w:val="center"/>
          </w:tcPr>
          <w:p>
            <w:pPr>
              <w:spacing w:before="120" w:after="120"/>
              <w:jc w:val="center"/>
              <w:rPr>
                <w:bCs/>
              </w:rPr>
            </w:pPr>
            <w:r>
              <w:rPr>
                <w:bCs/>
              </w:rPr>
              <w:t>10</w:t>
            </w:r>
          </w:p>
        </w:tc>
        <w:tc>
          <w:tcPr>
            <w:tcW w:w="516" w:type="pct"/>
            <w:vAlign w:val="center"/>
          </w:tcPr>
          <w:p>
            <w:pPr>
              <w:spacing w:before="120" w:after="120"/>
              <w:jc w:val="center"/>
              <w:rPr>
                <w:bCs/>
              </w:rPr>
            </w:pPr>
            <w:r>
              <w:rPr>
                <w:bCs/>
              </w:rPr>
              <w:t>15</w:t>
            </w:r>
          </w:p>
        </w:tc>
        <w:tc>
          <w:tcPr>
            <w:tcW w:w="516" w:type="pct"/>
            <w:vAlign w:val="center"/>
          </w:tcPr>
          <w:p>
            <w:pPr>
              <w:spacing w:before="120" w:after="120"/>
              <w:jc w:val="center"/>
              <w:rPr>
                <w:bCs/>
              </w:rPr>
            </w:pPr>
            <w:r>
              <w:rPr>
                <w:bCs/>
              </w:rPr>
              <w:t>20</w:t>
            </w:r>
          </w:p>
        </w:tc>
        <w:tc>
          <w:tcPr>
            <w:tcW w:w="516" w:type="pct"/>
            <w:vAlign w:val="center"/>
          </w:tcPr>
          <w:p>
            <w:pPr>
              <w:spacing w:before="120" w:after="120"/>
              <w:jc w:val="center"/>
              <w:rPr>
                <w:bCs/>
              </w:rPr>
            </w:pPr>
            <w:r>
              <w:rPr>
                <w:bCs/>
              </w:rPr>
              <w:t>25</w:t>
            </w:r>
          </w:p>
        </w:tc>
        <w:tc>
          <w:tcPr>
            <w:tcW w:w="516" w:type="pct"/>
            <w:vAlign w:val="center"/>
          </w:tcPr>
          <w:p>
            <w:pPr>
              <w:spacing w:before="120" w:after="120"/>
              <w:jc w:val="center"/>
              <w:rPr>
                <w:bCs/>
              </w:rPr>
            </w:pPr>
            <w:r>
              <w:rPr>
                <w:bCs/>
              </w:rPr>
              <w:t>Average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5" w:type="pct"/>
            <w:vAlign w:val="center"/>
          </w:tcPr>
          <w:p>
            <w:pPr>
              <w:spacing w:before="120" w:after="120"/>
              <w:jc w:val="center"/>
              <w:rPr>
                <w:bCs/>
              </w:rPr>
            </w:pPr>
            <w:r>
              <w:rPr>
                <w:rFonts w:hint="eastAsia"/>
                <w:bCs/>
              </w:rPr>
              <w:t>Rank = 1</w:t>
            </w:r>
          </w:p>
        </w:tc>
        <w:tc>
          <w:tcPr>
            <w:tcW w:w="458" w:type="pct"/>
            <w:vAlign w:val="center"/>
          </w:tcPr>
          <w:p>
            <w:pPr>
              <w:spacing w:before="120" w:after="120"/>
              <w:jc w:val="center"/>
              <w:textAlignment w:val="center"/>
              <w:rPr>
                <w:bCs/>
                <w:szCs w:val="21"/>
              </w:rPr>
            </w:pPr>
            <w:r>
              <w:rPr>
                <w:color w:val="000000"/>
                <w:kern w:val="0"/>
                <w:sz w:val="20"/>
                <w:lang w:bidi="ar"/>
              </w:rPr>
              <w:t>-6.44%</w:t>
            </w:r>
          </w:p>
        </w:tc>
        <w:tc>
          <w:tcPr>
            <w:tcW w:w="497" w:type="pct"/>
            <w:vAlign w:val="center"/>
          </w:tcPr>
          <w:p>
            <w:pPr>
              <w:spacing w:before="120" w:after="120"/>
              <w:jc w:val="center"/>
              <w:textAlignment w:val="center"/>
              <w:rPr>
                <w:bCs/>
                <w:szCs w:val="21"/>
              </w:rPr>
            </w:pPr>
            <w:r>
              <w:rPr>
                <w:color w:val="000000"/>
                <w:kern w:val="0"/>
                <w:sz w:val="20"/>
                <w:lang w:bidi="ar"/>
              </w:rPr>
              <w:t>-4.87%</w:t>
            </w:r>
          </w:p>
        </w:tc>
        <w:tc>
          <w:tcPr>
            <w:tcW w:w="497" w:type="pct"/>
            <w:vAlign w:val="center"/>
          </w:tcPr>
          <w:p>
            <w:pPr>
              <w:spacing w:before="120" w:after="120"/>
              <w:jc w:val="center"/>
              <w:textAlignment w:val="center"/>
              <w:rPr>
                <w:bCs/>
                <w:szCs w:val="21"/>
              </w:rPr>
            </w:pPr>
            <w:r>
              <w:rPr>
                <w:color w:val="000000"/>
                <w:kern w:val="0"/>
                <w:sz w:val="20"/>
                <w:lang w:bidi="ar"/>
              </w:rPr>
              <w:t>-0.08%</w:t>
            </w:r>
          </w:p>
        </w:tc>
        <w:tc>
          <w:tcPr>
            <w:tcW w:w="516" w:type="pct"/>
            <w:vAlign w:val="center"/>
          </w:tcPr>
          <w:p>
            <w:pPr>
              <w:spacing w:before="120" w:after="120"/>
              <w:jc w:val="center"/>
              <w:textAlignment w:val="center"/>
              <w:rPr>
                <w:bCs/>
                <w:szCs w:val="21"/>
              </w:rPr>
            </w:pPr>
            <w:r>
              <w:rPr>
                <w:color w:val="000000"/>
                <w:kern w:val="0"/>
                <w:sz w:val="20"/>
                <w:lang w:bidi="ar"/>
              </w:rPr>
              <w:t>-0.13%</w:t>
            </w:r>
          </w:p>
        </w:tc>
        <w:tc>
          <w:tcPr>
            <w:tcW w:w="516" w:type="pct"/>
            <w:vAlign w:val="center"/>
          </w:tcPr>
          <w:p>
            <w:pPr>
              <w:spacing w:before="120" w:after="120"/>
              <w:jc w:val="center"/>
              <w:textAlignment w:val="center"/>
              <w:rPr>
                <w:bCs/>
                <w:szCs w:val="21"/>
              </w:rPr>
            </w:pPr>
            <w:r>
              <w:rPr>
                <w:color w:val="000000"/>
                <w:kern w:val="0"/>
                <w:sz w:val="20"/>
                <w:lang w:bidi="ar"/>
              </w:rPr>
              <w:t>-0.01%</w:t>
            </w:r>
          </w:p>
        </w:tc>
        <w:tc>
          <w:tcPr>
            <w:tcW w:w="516" w:type="pct"/>
            <w:vAlign w:val="center"/>
          </w:tcPr>
          <w:p>
            <w:pPr>
              <w:spacing w:before="120" w:after="120"/>
              <w:jc w:val="center"/>
              <w:textAlignment w:val="center"/>
              <w:rPr>
                <w:bCs/>
                <w:szCs w:val="21"/>
              </w:rPr>
            </w:pPr>
            <w:r>
              <w:rPr>
                <w:color w:val="000000"/>
                <w:kern w:val="0"/>
                <w:sz w:val="20"/>
                <w:lang w:bidi="ar"/>
              </w:rPr>
              <w:t>0.00%</w:t>
            </w:r>
          </w:p>
        </w:tc>
        <w:tc>
          <w:tcPr>
            <w:tcW w:w="516" w:type="pct"/>
            <w:vAlign w:val="center"/>
          </w:tcPr>
          <w:p>
            <w:pPr>
              <w:spacing w:before="120" w:after="120"/>
              <w:jc w:val="center"/>
              <w:textAlignment w:val="center"/>
              <w:rPr>
                <w:bCs/>
                <w:szCs w:val="21"/>
              </w:rPr>
            </w:pPr>
            <w:r>
              <w:rPr>
                <w:color w:val="000000"/>
                <w:kern w:val="0"/>
                <w:sz w:val="20"/>
                <w:lang w:bidi="ar"/>
              </w:rPr>
              <w:t>0.00%</w:t>
            </w:r>
          </w:p>
        </w:tc>
        <w:tc>
          <w:tcPr>
            <w:tcW w:w="516" w:type="pct"/>
            <w:vAlign w:val="center"/>
          </w:tcPr>
          <w:p>
            <w:pPr>
              <w:spacing w:before="120" w:after="120"/>
              <w:jc w:val="center"/>
              <w:textAlignment w:val="center"/>
              <w:rPr>
                <w:rFonts w:ascii="宋体" w:hAnsi="宋体" w:cs="宋体"/>
                <w:color w:val="000000"/>
                <w:sz w:val="24"/>
                <w:szCs w:val="24"/>
              </w:rPr>
            </w:pPr>
            <w:r>
              <w:rPr>
                <w:color w:val="000000"/>
                <w:kern w:val="0"/>
                <w:sz w:val="20"/>
                <w:lang w:bidi="ar"/>
              </w:rPr>
              <w:t>-1.65%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5" w:type="pct"/>
            <w:vAlign w:val="center"/>
          </w:tcPr>
          <w:p>
            <w:pPr>
              <w:spacing w:before="120" w:after="120"/>
              <w:jc w:val="center"/>
              <w:rPr>
                <w:bCs/>
              </w:rPr>
            </w:pPr>
            <w:r>
              <w:rPr>
                <w:rFonts w:hint="eastAsia"/>
                <w:bCs/>
              </w:rPr>
              <w:t>Rank = 2</w:t>
            </w:r>
          </w:p>
        </w:tc>
        <w:tc>
          <w:tcPr>
            <w:tcW w:w="458" w:type="pct"/>
            <w:vAlign w:val="center"/>
          </w:tcPr>
          <w:p>
            <w:pPr>
              <w:spacing w:before="120" w:after="120"/>
              <w:jc w:val="center"/>
              <w:textAlignment w:val="center"/>
              <w:rPr>
                <w:bCs/>
                <w:szCs w:val="21"/>
              </w:rPr>
            </w:pPr>
            <w:r>
              <w:rPr>
                <w:color w:val="000000"/>
                <w:kern w:val="0"/>
                <w:sz w:val="20"/>
                <w:lang w:bidi="ar"/>
              </w:rPr>
              <w:t>-3.95%</w:t>
            </w:r>
          </w:p>
        </w:tc>
        <w:tc>
          <w:tcPr>
            <w:tcW w:w="497" w:type="pct"/>
            <w:vAlign w:val="center"/>
          </w:tcPr>
          <w:p>
            <w:pPr>
              <w:spacing w:before="120" w:after="120"/>
              <w:jc w:val="center"/>
              <w:textAlignment w:val="center"/>
              <w:rPr>
                <w:bCs/>
                <w:szCs w:val="21"/>
              </w:rPr>
            </w:pPr>
            <w:r>
              <w:rPr>
                <w:color w:val="000000"/>
                <w:kern w:val="0"/>
                <w:sz w:val="20"/>
                <w:lang w:bidi="ar"/>
              </w:rPr>
              <w:t>-2.88%</w:t>
            </w:r>
          </w:p>
        </w:tc>
        <w:tc>
          <w:tcPr>
            <w:tcW w:w="497" w:type="pct"/>
            <w:vAlign w:val="center"/>
          </w:tcPr>
          <w:p>
            <w:pPr>
              <w:spacing w:before="120" w:after="120"/>
              <w:jc w:val="center"/>
              <w:textAlignment w:val="center"/>
              <w:rPr>
                <w:bCs/>
                <w:szCs w:val="21"/>
              </w:rPr>
            </w:pPr>
            <w:r>
              <w:rPr>
                <w:color w:val="000000"/>
                <w:kern w:val="0"/>
                <w:sz w:val="20"/>
                <w:lang w:bidi="ar"/>
              </w:rPr>
              <w:t>-2.22%</w:t>
            </w:r>
          </w:p>
        </w:tc>
        <w:tc>
          <w:tcPr>
            <w:tcW w:w="516" w:type="pct"/>
            <w:vAlign w:val="center"/>
          </w:tcPr>
          <w:p>
            <w:pPr>
              <w:spacing w:before="120" w:after="120"/>
              <w:jc w:val="center"/>
              <w:textAlignment w:val="center"/>
              <w:rPr>
                <w:bCs/>
                <w:szCs w:val="21"/>
              </w:rPr>
            </w:pPr>
            <w:r>
              <w:rPr>
                <w:color w:val="000000"/>
                <w:kern w:val="0"/>
                <w:sz w:val="20"/>
                <w:lang w:bidi="ar"/>
              </w:rPr>
              <w:t>-0.13%</w:t>
            </w:r>
          </w:p>
        </w:tc>
        <w:tc>
          <w:tcPr>
            <w:tcW w:w="516" w:type="pct"/>
            <w:vAlign w:val="center"/>
          </w:tcPr>
          <w:p>
            <w:pPr>
              <w:spacing w:before="120" w:after="120"/>
              <w:jc w:val="center"/>
              <w:textAlignment w:val="center"/>
              <w:rPr>
                <w:bCs/>
                <w:szCs w:val="21"/>
              </w:rPr>
            </w:pPr>
            <w:r>
              <w:rPr>
                <w:color w:val="000000"/>
                <w:kern w:val="0"/>
                <w:sz w:val="20"/>
                <w:lang w:bidi="ar"/>
              </w:rPr>
              <w:t>-0.17%</w:t>
            </w:r>
          </w:p>
        </w:tc>
        <w:tc>
          <w:tcPr>
            <w:tcW w:w="516" w:type="pct"/>
            <w:vAlign w:val="center"/>
          </w:tcPr>
          <w:p>
            <w:pPr>
              <w:spacing w:before="120" w:after="120"/>
              <w:jc w:val="center"/>
              <w:textAlignment w:val="center"/>
              <w:rPr>
                <w:bCs/>
                <w:szCs w:val="21"/>
              </w:rPr>
            </w:pPr>
            <w:r>
              <w:rPr>
                <w:color w:val="000000"/>
                <w:kern w:val="0"/>
                <w:sz w:val="20"/>
                <w:lang w:bidi="ar"/>
              </w:rPr>
              <w:t>-0.15%</w:t>
            </w:r>
          </w:p>
        </w:tc>
        <w:tc>
          <w:tcPr>
            <w:tcW w:w="516" w:type="pct"/>
            <w:vAlign w:val="center"/>
          </w:tcPr>
          <w:p>
            <w:pPr>
              <w:spacing w:before="120" w:after="120"/>
              <w:jc w:val="center"/>
              <w:textAlignment w:val="center"/>
              <w:rPr>
                <w:bCs/>
                <w:szCs w:val="21"/>
              </w:rPr>
            </w:pPr>
            <w:r>
              <w:rPr>
                <w:color w:val="000000"/>
                <w:kern w:val="0"/>
                <w:sz w:val="20"/>
                <w:lang w:bidi="ar"/>
              </w:rPr>
              <w:t>-0.14%</w:t>
            </w:r>
          </w:p>
        </w:tc>
        <w:tc>
          <w:tcPr>
            <w:tcW w:w="516" w:type="pct"/>
            <w:vAlign w:val="center"/>
          </w:tcPr>
          <w:p>
            <w:pPr>
              <w:spacing w:before="120" w:after="120"/>
              <w:jc w:val="center"/>
              <w:textAlignment w:val="center"/>
              <w:rPr>
                <w:rFonts w:ascii="宋体" w:hAnsi="宋体" w:cs="宋体"/>
                <w:color w:val="000000"/>
                <w:sz w:val="24"/>
                <w:szCs w:val="24"/>
              </w:rPr>
            </w:pPr>
            <w:r>
              <w:rPr>
                <w:color w:val="000000"/>
                <w:kern w:val="0"/>
                <w:sz w:val="20"/>
                <w:lang w:bidi="ar"/>
              </w:rP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5" w:type="pct"/>
            <w:vAlign w:val="center"/>
          </w:tcPr>
          <w:p>
            <w:pPr>
              <w:spacing w:before="120" w:after="120"/>
              <w:jc w:val="center"/>
              <w:rPr>
                <w:bCs/>
              </w:rPr>
            </w:pPr>
            <w:r>
              <w:rPr>
                <w:rFonts w:hint="eastAsia"/>
                <w:bCs/>
              </w:rPr>
              <w:t>Rank = 3</w:t>
            </w:r>
          </w:p>
        </w:tc>
        <w:tc>
          <w:tcPr>
            <w:tcW w:w="458" w:type="pct"/>
            <w:vAlign w:val="center"/>
          </w:tcPr>
          <w:p>
            <w:pPr>
              <w:spacing w:before="120" w:after="120"/>
              <w:jc w:val="center"/>
              <w:textAlignment w:val="center"/>
              <w:rPr>
                <w:bCs/>
                <w:szCs w:val="21"/>
              </w:rPr>
            </w:pPr>
            <w:r>
              <w:rPr>
                <w:color w:val="000000"/>
                <w:kern w:val="0"/>
                <w:sz w:val="20"/>
                <w:lang w:bidi="ar"/>
              </w:rPr>
              <w:t>0.41%</w:t>
            </w:r>
          </w:p>
        </w:tc>
        <w:tc>
          <w:tcPr>
            <w:tcW w:w="497" w:type="pct"/>
            <w:vAlign w:val="center"/>
          </w:tcPr>
          <w:p>
            <w:pPr>
              <w:spacing w:before="120" w:after="120"/>
              <w:jc w:val="center"/>
              <w:textAlignment w:val="center"/>
              <w:rPr>
                <w:bCs/>
                <w:szCs w:val="21"/>
              </w:rPr>
            </w:pPr>
            <w:r>
              <w:rPr>
                <w:color w:val="000000"/>
                <w:kern w:val="0"/>
                <w:sz w:val="20"/>
                <w:lang w:bidi="ar"/>
              </w:rPr>
              <w:t>-1.84%</w:t>
            </w:r>
          </w:p>
        </w:tc>
        <w:tc>
          <w:tcPr>
            <w:tcW w:w="497" w:type="pct"/>
            <w:vAlign w:val="center"/>
          </w:tcPr>
          <w:p>
            <w:pPr>
              <w:spacing w:before="120" w:after="120"/>
              <w:jc w:val="center"/>
              <w:textAlignment w:val="center"/>
              <w:rPr>
                <w:bCs/>
                <w:szCs w:val="21"/>
              </w:rPr>
            </w:pPr>
            <w:r>
              <w:rPr>
                <w:color w:val="000000"/>
                <w:kern w:val="0"/>
                <w:sz w:val="20"/>
                <w:lang w:bidi="ar"/>
              </w:rPr>
              <w:t>-1.59%</w:t>
            </w:r>
          </w:p>
        </w:tc>
        <w:tc>
          <w:tcPr>
            <w:tcW w:w="516" w:type="pct"/>
            <w:vAlign w:val="center"/>
          </w:tcPr>
          <w:p>
            <w:pPr>
              <w:spacing w:before="120" w:after="120"/>
              <w:jc w:val="center"/>
              <w:textAlignment w:val="center"/>
              <w:rPr>
                <w:bCs/>
                <w:szCs w:val="21"/>
              </w:rPr>
            </w:pPr>
            <w:r>
              <w:rPr>
                <w:color w:val="000000"/>
                <w:kern w:val="0"/>
                <w:sz w:val="20"/>
                <w:lang w:bidi="ar"/>
              </w:rPr>
              <w:t>1.88%</w:t>
            </w:r>
          </w:p>
        </w:tc>
        <w:tc>
          <w:tcPr>
            <w:tcW w:w="516" w:type="pct"/>
            <w:vAlign w:val="center"/>
          </w:tcPr>
          <w:p>
            <w:pPr>
              <w:spacing w:before="120" w:after="120"/>
              <w:jc w:val="center"/>
              <w:textAlignment w:val="center"/>
              <w:rPr>
                <w:bCs/>
                <w:szCs w:val="21"/>
              </w:rPr>
            </w:pPr>
            <w:r>
              <w:rPr>
                <w:color w:val="000000"/>
                <w:kern w:val="0"/>
                <w:sz w:val="20"/>
                <w:lang w:bidi="ar"/>
              </w:rPr>
              <w:t>0.52%</w:t>
            </w:r>
          </w:p>
        </w:tc>
        <w:tc>
          <w:tcPr>
            <w:tcW w:w="516" w:type="pct"/>
            <w:vAlign w:val="center"/>
          </w:tcPr>
          <w:p>
            <w:pPr>
              <w:spacing w:before="120" w:after="120"/>
              <w:jc w:val="center"/>
              <w:textAlignment w:val="center"/>
              <w:rPr>
                <w:bCs/>
                <w:szCs w:val="21"/>
              </w:rPr>
            </w:pPr>
            <w:r>
              <w:rPr>
                <w:color w:val="000000"/>
                <w:kern w:val="0"/>
                <w:sz w:val="20"/>
                <w:lang w:bidi="ar"/>
              </w:rPr>
              <w:t>-2.76%</w:t>
            </w:r>
          </w:p>
        </w:tc>
        <w:tc>
          <w:tcPr>
            <w:tcW w:w="516" w:type="pct"/>
            <w:vAlign w:val="center"/>
          </w:tcPr>
          <w:p>
            <w:pPr>
              <w:spacing w:before="120" w:after="120"/>
              <w:jc w:val="center"/>
              <w:textAlignment w:val="center"/>
              <w:rPr>
                <w:bCs/>
                <w:szCs w:val="21"/>
              </w:rPr>
            </w:pPr>
            <w:r>
              <w:rPr>
                <w:color w:val="000000"/>
                <w:kern w:val="0"/>
                <w:sz w:val="20"/>
                <w:lang w:bidi="ar"/>
              </w:rPr>
              <w:t>-0.20%</w:t>
            </w:r>
          </w:p>
        </w:tc>
        <w:tc>
          <w:tcPr>
            <w:tcW w:w="516" w:type="pct"/>
            <w:vAlign w:val="center"/>
          </w:tcPr>
          <w:p>
            <w:pPr>
              <w:spacing w:before="120" w:after="120"/>
              <w:jc w:val="center"/>
              <w:textAlignment w:val="center"/>
              <w:rPr>
                <w:rFonts w:ascii="宋体" w:hAnsi="宋体" w:cs="宋体"/>
                <w:color w:val="000000"/>
                <w:sz w:val="24"/>
                <w:szCs w:val="24"/>
              </w:rPr>
            </w:pPr>
            <w:r>
              <w:rPr>
                <w:color w:val="000000"/>
                <w:kern w:val="0"/>
                <w:sz w:val="20"/>
                <w:lang w:bidi="ar"/>
              </w:rPr>
              <w:t>-0.51%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5" w:type="pct"/>
            <w:vAlign w:val="center"/>
          </w:tcPr>
          <w:p>
            <w:pPr>
              <w:spacing w:before="120" w:after="120"/>
              <w:jc w:val="center"/>
              <w:rPr>
                <w:bCs/>
              </w:rPr>
            </w:pPr>
            <w:r>
              <w:rPr>
                <w:rFonts w:hint="eastAsia"/>
                <w:bCs/>
              </w:rPr>
              <w:t>Rank = 4</w:t>
            </w:r>
          </w:p>
        </w:tc>
        <w:tc>
          <w:tcPr>
            <w:tcW w:w="458" w:type="pct"/>
            <w:vAlign w:val="center"/>
          </w:tcPr>
          <w:p>
            <w:pPr>
              <w:spacing w:before="120" w:after="120"/>
              <w:jc w:val="center"/>
              <w:textAlignment w:val="center"/>
              <w:rPr>
                <w:bCs/>
                <w:szCs w:val="21"/>
              </w:rPr>
            </w:pPr>
            <w:r>
              <w:rPr>
                <w:color w:val="000000"/>
                <w:kern w:val="0"/>
                <w:sz w:val="20"/>
                <w:lang w:bidi="ar"/>
              </w:rPr>
              <w:t>-0.94%</w:t>
            </w:r>
          </w:p>
        </w:tc>
        <w:tc>
          <w:tcPr>
            <w:tcW w:w="497" w:type="pct"/>
            <w:vAlign w:val="center"/>
          </w:tcPr>
          <w:p>
            <w:pPr>
              <w:spacing w:before="120" w:after="120"/>
              <w:jc w:val="center"/>
              <w:textAlignment w:val="center"/>
              <w:rPr>
                <w:bCs/>
                <w:szCs w:val="21"/>
              </w:rPr>
            </w:pPr>
            <w:r>
              <w:rPr>
                <w:color w:val="000000"/>
                <w:kern w:val="0"/>
                <w:sz w:val="20"/>
                <w:lang w:bidi="ar"/>
              </w:rPr>
              <w:t>-2.64%</w:t>
            </w:r>
          </w:p>
        </w:tc>
        <w:tc>
          <w:tcPr>
            <w:tcW w:w="497" w:type="pct"/>
            <w:vAlign w:val="center"/>
          </w:tcPr>
          <w:p>
            <w:pPr>
              <w:spacing w:before="120" w:after="120"/>
              <w:jc w:val="center"/>
              <w:textAlignment w:val="center"/>
              <w:rPr>
                <w:bCs/>
                <w:szCs w:val="21"/>
              </w:rPr>
            </w:pPr>
            <w:r>
              <w:rPr>
                <w:color w:val="000000"/>
                <w:kern w:val="0"/>
                <w:sz w:val="20"/>
                <w:lang w:bidi="ar"/>
              </w:rPr>
              <w:t>-2.08%</w:t>
            </w:r>
          </w:p>
        </w:tc>
        <w:tc>
          <w:tcPr>
            <w:tcW w:w="516" w:type="pct"/>
            <w:vAlign w:val="center"/>
          </w:tcPr>
          <w:p>
            <w:pPr>
              <w:spacing w:before="120" w:after="120"/>
              <w:jc w:val="center"/>
              <w:textAlignment w:val="center"/>
              <w:rPr>
                <w:bCs/>
                <w:szCs w:val="21"/>
              </w:rPr>
            </w:pPr>
            <w:r>
              <w:rPr>
                <w:color w:val="000000"/>
                <w:kern w:val="0"/>
                <w:sz w:val="20"/>
                <w:lang w:bidi="ar"/>
              </w:rPr>
              <w:t>-4.03%</w:t>
            </w:r>
          </w:p>
        </w:tc>
        <w:tc>
          <w:tcPr>
            <w:tcW w:w="516" w:type="pct"/>
            <w:vAlign w:val="center"/>
          </w:tcPr>
          <w:p>
            <w:pPr>
              <w:spacing w:before="120" w:after="120"/>
              <w:jc w:val="center"/>
              <w:textAlignment w:val="center"/>
              <w:rPr>
                <w:bCs/>
                <w:szCs w:val="21"/>
              </w:rPr>
            </w:pPr>
            <w:r>
              <w:rPr>
                <w:color w:val="000000"/>
                <w:kern w:val="0"/>
                <w:sz w:val="20"/>
                <w:lang w:bidi="ar"/>
              </w:rPr>
              <w:t>-3.32%</w:t>
            </w:r>
          </w:p>
        </w:tc>
        <w:tc>
          <w:tcPr>
            <w:tcW w:w="516" w:type="pct"/>
            <w:vAlign w:val="center"/>
          </w:tcPr>
          <w:p>
            <w:pPr>
              <w:spacing w:before="120" w:after="120"/>
              <w:jc w:val="center"/>
              <w:textAlignment w:val="center"/>
              <w:rPr>
                <w:bCs/>
                <w:szCs w:val="21"/>
              </w:rPr>
            </w:pPr>
            <w:r>
              <w:rPr>
                <w:color w:val="000000"/>
                <w:kern w:val="0"/>
                <w:sz w:val="20"/>
                <w:lang w:bidi="ar"/>
              </w:rPr>
              <w:t>-2.33%</w:t>
            </w:r>
          </w:p>
        </w:tc>
        <w:tc>
          <w:tcPr>
            <w:tcW w:w="516" w:type="pct"/>
            <w:vAlign w:val="center"/>
          </w:tcPr>
          <w:p>
            <w:pPr>
              <w:spacing w:before="120" w:after="120"/>
              <w:jc w:val="center"/>
              <w:textAlignment w:val="center"/>
              <w:rPr>
                <w:bCs/>
                <w:szCs w:val="21"/>
              </w:rPr>
            </w:pPr>
            <w:r>
              <w:rPr>
                <w:color w:val="000000"/>
                <w:kern w:val="0"/>
                <w:sz w:val="20"/>
                <w:lang w:bidi="ar"/>
              </w:rPr>
              <w:t>-3.05%</w:t>
            </w:r>
          </w:p>
        </w:tc>
        <w:tc>
          <w:tcPr>
            <w:tcW w:w="516" w:type="pct"/>
            <w:vAlign w:val="center"/>
          </w:tcPr>
          <w:p>
            <w:pPr>
              <w:spacing w:before="120" w:after="120"/>
              <w:jc w:val="center"/>
              <w:textAlignment w:val="center"/>
              <w:rPr>
                <w:rFonts w:ascii="宋体" w:hAnsi="宋体" w:cs="宋体"/>
                <w:color w:val="000000"/>
                <w:sz w:val="24"/>
                <w:szCs w:val="24"/>
              </w:rPr>
            </w:pPr>
            <w:r>
              <w:rPr>
                <w:color w:val="000000"/>
                <w:kern w:val="0"/>
                <w:sz w:val="20"/>
                <w:lang w:bidi="ar"/>
              </w:rPr>
              <w:t>-2.63%</w:t>
            </w:r>
          </w:p>
        </w:tc>
      </w:tr>
    </w:tbl>
    <w:p>
      <w:pPr>
        <w:spacing w:before="120" w:after="120"/>
      </w:pPr>
    </w:p>
    <w:p>
      <w:pPr>
        <w:spacing w:before="120" w:after="120"/>
        <w:jc w:val="center"/>
        <w:rPr>
          <w:b/>
        </w:rPr>
      </w:pPr>
      <w:r>
        <w:rPr>
          <w:b/>
        </w:rPr>
        <w:t xml:space="preserve">Table </w:t>
      </w:r>
      <w:r>
        <w:rPr>
          <w:rFonts w:hint="eastAsia"/>
          <w:b/>
        </w:rPr>
        <w:t>3</w:t>
      </w:r>
      <w:r>
        <w:rPr>
          <w:b/>
        </w:rPr>
        <w:t xml:space="preserve">. </w:t>
      </w:r>
      <w:r>
        <w:rPr>
          <w:rFonts w:hint="eastAsia"/>
          <w:b/>
        </w:rPr>
        <w:t xml:space="preserve">Throughput </w:t>
      </w:r>
      <w:r>
        <w:rPr>
          <w:b/>
        </w:rPr>
        <w:t xml:space="preserve">loss of </w:t>
      </w:r>
      <w:r>
        <w:rPr>
          <w:rFonts w:hint="eastAsia"/>
          <w:b/>
        </w:rPr>
        <w:t>Pa compared with Pb for</w:t>
      </w:r>
      <w:r>
        <w:rPr>
          <w:b/>
        </w:rPr>
        <w:t xml:space="preserve"> 24 ports </w:t>
      </w:r>
      <w:r>
        <w:rPr>
          <w:rFonts w:hint="eastAsia"/>
          <w:b/>
        </w:rPr>
        <w:t>(LLS, fixed rank)</w:t>
      </w:r>
    </w:p>
    <w:tbl>
      <w:tblPr>
        <w:tblStyle w:val="19"/>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86"/>
        <w:gridCol w:w="956"/>
        <w:gridCol w:w="956"/>
        <w:gridCol w:w="956"/>
        <w:gridCol w:w="956"/>
        <w:gridCol w:w="956"/>
        <w:gridCol w:w="956"/>
        <w:gridCol w:w="956"/>
        <w:gridCol w:w="10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3" w:hRule="atLeast"/>
        </w:trPr>
        <w:tc>
          <w:tcPr>
            <w:tcW w:w="1057" w:type="pct"/>
            <w:tcBorders>
              <w:tl2br w:val="single" w:color="auto" w:sz="4" w:space="0"/>
            </w:tcBorders>
          </w:tcPr>
          <w:p>
            <w:pPr>
              <w:snapToGrid w:val="0"/>
              <w:spacing w:before="120" w:after="120"/>
              <w:ind w:firstLine="735" w:firstLineChars="350"/>
              <w:rPr>
                <w:bCs/>
              </w:rPr>
            </w:pPr>
            <w:r>
              <w:rPr>
                <w:bCs/>
              </w:rPr>
              <w:t>SNR(dB)</w:t>
            </w:r>
          </w:p>
          <w:p>
            <w:pPr>
              <w:snapToGrid w:val="0"/>
              <w:spacing w:before="120" w:after="120"/>
              <w:rPr>
                <w:bCs/>
              </w:rPr>
            </w:pPr>
            <w:r>
              <w:rPr>
                <w:rFonts w:hint="eastAsia"/>
                <w:bCs/>
              </w:rPr>
              <w:t>cases</w:t>
            </w:r>
          </w:p>
        </w:tc>
        <w:tc>
          <w:tcPr>
            <w:tcW w:w="484" w:type="pct"/>
            <w:vAlign w:val="center"/>
          </w:tcPr>
          <w:p>
            <w:pPr>
              <w:spacing w:before="120" w:after="120"/>
              <w:jc w:val="center"/>
              <w:rPr>
                <w:bCs/>
              </w:rPr>
            </w:pPr>
            <w:r>
              <w:rPr>
                <w:bCs/>
              </w:rPr>
              <w:t>-5</w:t>
            </w:r>
          </w:p>
        </w:tc>
        <w:tc>
          <w:tcPr>
            <w:tcW w:w="484" w:type="pct"/>
            <w:vAlign w:val="center"/>
          </w:tcPr>
          <w:p>
            <w:pPr>
              <w:spacing w:before="120" w:after="120"/>
              <w:jc w:val="center"/>
              <w:rPr>
                <w:bCs/>
              </w:rPr>
            </w:pPr>
            <w:r>
              <w:rPr>
                <w:bCs/>
              </w:rPr>
              <w:t>0</w:t>
            </w:r>
          </w:p>
        </w:tc>
        <w:tc>
          <w:tcPr>
            <w:tcW w:w="484" w:type="pct"/>
            <w:vAlign w:val="center"/>
          </w:tcPr>
          <w:p>
            <w:pPr>
              <w:spacing w:before="120" w:after="120"/>
              <w:jc w:val="center"/>
              <w:rPr>
                <w:bCs/>
              </w:rPr>
            </w:pPr>
            <w:r>
              <w:rPr>
                <w:bCs/>
              </w:rPr>
              <w:t>5</w:t>
            </w:r>
          </w:p>
        </w:tc>
        <w:tc>
          <w:tcPr>
            <w:tcW w:w="484" w:type="pct"/>
            <w:vAlign w:val="center"/>
          </w:tcPr>
          <w:p>
            <w:pPr>
              <w:spacing w:before="120" w:after="120"/>
              <w:jc w:val="center"/>
              <w:rPr>
                <w:bCs/>
              </w:rPr>
            </w:pPr>
            <w:r>
              <w:rPr>
                <w:bCs/>
              </w:rPr>
              <w:t>10</w:t>
            </w:r>
          </w:p>
        </w:tc>
        <w:tc>
          <w:tcPr>
            <w:tcW w:w="484" w:type="pct"/>
            <w:vAlign w:val="center"/>
          </w:tcPr>
          <w:p>
            <w:pPr>
              <w:spacing w:before="120" w:after="120"/>
              <w:jc w:val="center"/>
              <w:rPr>
                <w:bCs/>
              </w:rPr>
            </w:pPr>
            <w:r>
              <w:rPr>
                <w:bCs/>
              </w:rPr>
              <w:t>15</w:t>
            </w:r>
          </w:p>
        </w:tc>
        <w:tc>
          <w:tcPr>
            <w:tcW w:w="484" w:type="pct"/>
            <w:vAlign w:val="center"/>
          </w:tcPr>
          <w:p>
            <w:pPr>
              <w:spacing w:before="120" w:after="120"/>
              <w:jc w:val="center"/>
              <w:rPr>
                <w:bCs/>
              </w:rPr>
            </w:pPr>
            <w:r>
              <w:rPr>
                <w:bCs/>
              </w:rPr>
              <w:t>20</w:t>
            </w:r>
          </w:p>
        </w:tc>
        <w:tc>
          <w:tcPr>
            <w:tcW w:w="484" w:type="pct"/>
            <w:vAlign w:val="center"/>
          </w:tcPr>
          <w:p>
            <w:pPr>
              <w:spacing w:before="120" w:after="120"/>
              <w:jc w:val="center"/>
              <w:rPr>
                <w:bCs/>
              </w:rPr>
            </w:pPr>
            <w:r>
              <w:rPr>
                <w:bCs/>
              </w:rPr>
              <w:t>25</w:t>
            </w:r>
          </w:p>
        </w:tc>
        <w:tc>
          <w:tcPr>
            <w:tcW w:w="552" w:type="pct"/>
            <w:vAlign w:val="center"/>
          </w:tcPr>
          <w:p>
            <w:pPr>
              <w:spacing w:before="120" w:after="120"/>
              <w:jc w:val="center"/>
              <w:rPr>
                <w:bCs/>
              </w:rPr>
            </w:pPr>
            <w:r>
              <w:rPr>
                <w:bCs/>
              </w:rPr>
              <w:t>Average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pct"/>
            <w:vAlign w:val="center"/>
          </w:tcPr>
          <w:p>
            <w:pPr>
              <w:spacing w:before="120" w:after="120"/>
              <w:jc w:val="center"/>
              <w:rPr>
                <w:bCs/>
              </w:rPr>
            </w:pPr>
            <w:r>
              <w:rPr>
                <w:rFonts w:hint="eastAsia"/>
                <w:bCs/>
              </w:rPr>
              <w:t>Rank = 1</w:t>
            </w:r>
          </w:p>
        </w:tc>
        <w:tc>
          <w:tcPr>
            <w:tcW w:w="484" w:type="pct"/>
            <w:vAlign w:val="center"/>
          </w:tcPr>
          <w:p>
            <w:pPr>
              <w:spacing w:before="120" w:after="120"/>
              <w:jc w:val="center"/>
              <w:textAlignment w:val="center"/>
              <w:rPr>
                <w:bCs/>
                <w:szCs w:val="21"/>
              </w:rPr>
            </w:pPr>
            <w:r>
              <w:rPr>
                <w:color w:val="000000"/>
                <w:kern w:val="0"/>
                <w:sz w:val="20"/>
                <w:lang w:bidi="ar"/>
              </w:rPr>
              <w:t>-0.82%</w:t>
            </w:r>
          </w:p>
        </w:tc>
        <w:tc>
          <w:tcPr>
            <w:tcW w:w="484" w:type="pct"/>
            <w:vAlign w:val="center"/>
          </w:tcPr>
          <w:p>
            <w:pPr>
              <w:spacing w:before="120" w:after="120"/>
              <w:jc w:val="center"/>
              <w:textAlignment w:val="center"/>
              <w:rPr>
                <w:bCs/>
                <w:szCs w:val="21"/>
              </w:rPr>
            </w:pPr>
            <w:r>
              <w:rPr>
                <w:color w:val="000000"/>
                <w:kern w:val="0"/>
                <w:sz w:val="20"/>
                <w:lang w:bidi="ar"/>
              </w:rPr>
              <w:t>-0.85%</w:t>
            </w:r>
          </w:p>
        </w:tc>
        <w:tc>
          <w:tcPr>
            <w:tcW w:w="484" w:type="pct"/>
            <w:vAlign w:val="center"/>
          </w:tcPr>
          <w:p>
            <w:pPr>
              <w:spacing w:before="120" w:after="120"/>
              <w:jc w:val="center"/>
              <w:textAlignment w:val="center"/>
              <w:rPr>
                <w:bCs/>
                <w:szCs w:val="21"/>
              </w:rPr>
            </w:pPr>
            <w:r>
              <w:rPr>
                <w:color w:val="000000"/>
                <w:kern w:val="0"/>
                <w:sz w:val="20"/>
                <w:lang w:bidi="ar"/>
              </w:rPr>
              <w:t>-0.82%</w:t>
            </w:r>
          </w:p>
        </w:tc>
        <w:tc>
          <w:tcPr>
            <w:tcW w:w="484" w:type="pct"/>
            <w:vAlign w:val="center"/>
          </w:tcPr>
          <w:p>
            <w:pPr>
              <w:spacing w:before="120" w:after="120"/>
              <w:jc w:val="center"/>
              <w:textAlignment w:val="center"/>
              <w:rPr>
                <w:bCs/>
                <w:szCs w:val="21"/>
              </w:rPr>
            </w:pPr>
            <w:r>
              <w:rPr>
                <w:color w:val="000000"/>
                <w:kern w:val="0"/>
                <w:sz w:val="20"/>
                <w:lang w:bidi="ar"/>
              </w:rPr>
              <w:t>0.04%</w:t>
            </w:r>
          </w:p>
        </w:tc>
        <w:tc>
          <w:tcPr>
            <w:tcW w:w="484" w:type="pct"/>
            <w:vAlign w:val="center"/>
          </w:tcPr>
          <w:p>
            <w:pPr>
              <w:spacing w:before="120" w:after="120"/>
              <w:jc w:val="center"/>
              <w:textAlignment w:val="center"/>
              <w:rPr>
                <w:bCs/>
                <w:szCs w:val="21"/>
              </w:rPr>
            </w:pPr>
            <w:r>
              <w:rPr>
                <w:color w:val="000000"/>
                <w:kern w:val="0"/>
                <w:sz w:val="20"/>
                <w:lang w:bidi="ar"/>
              </w:rPr>
              <w:t>0.00%</w:t>
            </w:r>
          </w:p>
        </w:tc>
        <w:tc>
          <w:tcPr>
            <w:tcW w:w="484" w:type="pct"/>
            <w:vAlign w:val="center"/>
          </w:tcPr>
          <w:p>
            <w:pPr>
              <w:spacing w:before="120" w:after="120"/>
              <w:jc w:val="center"/>
              <w:textAlignment w:val="center"/>
              <w:rPr>
                <w:bCs/>
                <w:szCs w:val="21"/>
              </w:rPr>
            </w:pPr>
            <w:r>
              <w:rPr>
                <w:color w:val="000000"/>
                <w:kern w:val="0"/>
                <w:sz w:val="20"/>
                <w:lang w:bidi="ar"/>
              </w:rPr>
              <w:t>0.00%</w:t>
            </w:r>
          </w:p>
        </w:tc>
        <w:tc>
          <w:tcPr>
            <w:tcW w:w="484" w:type="pct"/>
            <w:vAlign w:val="center"/>
          </w:tcPr>
          <w:p>
            <w:pPr>
              <w:spacing w:before="120" w:after="120"/>
              <w:jc w:val="center"/>
              <w:textAlignment w:val="center"/>
              <w:rPr>
                <w:bCs/>
                <w:szCs w:val="21"/>
              </w:rPr>
            </w:pPr>
            <w:r>
              <w:rPr>
                <w:color w:val="000000"/>
                <w:kern w:val="0"/>
                <w:sz w:val="20"/>
                <w:lang w:bidi="ar"/>
              </w:rPr>
              <w:t>0.00%</w:t>
            </w:r>
          </w:p>
        </w:tc>
        <w:tc>
          <w:tcPr>
            <w:tcW w:w="552" w:type="pct"/>
            <w:vAlign w:val="center"/>
          </w:tcPr>
          <w:p>
            <w:pPr>
              <w:spacing w:before="120" w:after="120"/>
              <w:jc w:val="center"/>
              <w:textAlignment w:val="center"/>
              <w:rPr>
                <w:rFonts w:ascii="宋体" w:hAnsi="宋体" w:cs="宋体"/>
                <w:color w:val="000000"/>
                <w:sz w:val="24"/>
                <w:szCs w:val="24"/>
              </w:rPr>
            </w:pPr>
            <w:r>
              <w:rPr>
                <w:color w:val="000000"/>
                <w:kern w:val="0"/>
                <w:sz w:val="20"/>
                <w:lang w:bidi="ar"/>
              </w:rP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pct"/>
            <w:vAlign w:val="center"/>
          </w:tcPr>
          <w:p>
            <w:pPr>
              <w:spacing w:before="120" w:after="120"/>
              <w:jc w:val="center"/>
              <w:rPr>
                <w:bCs/>
              </w:rPr>
            </w:pPr>
            <w:r>
              <w:rPr>
                <w:rFonts w:hint="eastAsia"/>
                <w:bCs/>
              </w:rPr>
              <w:t>Rank = 2</w:t>
            </w:r>
          </w:p>
        </w:tc>
        <w:tc>
          <w:tcPr>
            <w:tcW w:w="484" w:type="pct"/>
            <w:vAlign w:val="center"/>
          </w:tcPr>
          <w:p>
            <w:pPr>
              <w:spacing w:before="120" w:after="120"/>
              <w:jc w:val="center"/>
              <w:textAlignment w:val="center"/>
              <w:rPr>
                <w:bCs/>
                <w:szCs w:val="21"/>
              </w:rPr>
            </w:pPr>
            <w:r>
              <w:rPr>
                <w:color w:val="000000"/>
                <w:kern w:val="0"/>
                <w:sz w:val="20"/>
                <w:lang w:bidi="ar"/>
              </w:rPr>
              <w:t>0.79%</w:t>
            </w:r>
          </w:p>
        </w:tc>
        <w:tc>
          <w:tcPr>
            <w:tcW w:w="484" w:type="pct"/>
            <w:vAlign w:val="center"/>
          </w:tcPr>
          <w:p>
            <w:pPr>
              <w:spacing w:before="120" w:after="120"/>
              <w:jc w:val="center"/>
              <w:textAlignment w:val="center"/>
              <w:rPr>
                <w:bCs/>
                <w:szCs w:val="21"/>
              </w:rPr>
            </w:pPr>
            <w:r>
              <w:rPr>
                <w:color w:val="000000"/>
                <w:kern w:val="0"/>
                <w:sz w:val="20"/>
                <w:lang w:bidi="ar"/>
              </w:rPr>
              <w:t>-0.39%</w:t>
            </w:r>
          </w:p>
        </w:tc>
        <w:tc>
          <w:tcPr>
            <w:tcW w:w="484" w:type="pct"/>
            <w:vAlign w:val="center"/>
          </w:tcPr>
          <w:p>
            <w:pPr>
              <w:spacing w:before="120" w:after="120"/>
              <w:jc w:val="center"/>
              <w:textAlignment w:val="center"/>
              <w:rPr>
                <w:bCs/>
                <w:szCs w:val="21"/>
              </w:rPr>
            </w:pPr>
            <w:r>
              <w:rPr>
                <w:color w:val="000000"/>
                <w:kern w:val="0"/>
                <w:sz w:val="20"/>
                <w:lang w:bidi="ar"/>
              </w:rPr>
              <w:t>-1.15%</w:t>
            </w:r>
          </w:p>
        </w:tc>
        <w:tc>
          <w:tcPr>
            <w:tcW w:w="484" w:type="pct"/>
            <w:vAlign w:val="center"/>
          </w:tcPr>
          <w:p>
            <w:pPr>
              <w:spacing w:before="120" w:after="120"/>
              <w:jc w:val="center"/>
              <w:textAlignment w:val="center"/>
              <w:rPr>
                <w:bCs/>
                <w:szCs w:val="21"/>
              </w:rPr>
            </w:pPr>
            <w:r>
              <w:rPr>
                <w:color w:val="000000"/>
                <w:kern w:val="0"/>
                <w:sz w:val="20"/>
                <w:lang w:bidi="ar"/>
              </w:rPr>
              <w:t>1.05%</w:t>
            </w:r>
          </w:p>
        </w:tc>
        <w:tc>
          <w:tcPr>
            <w:tcW w:w="484" w:type="pct"/>
            <w:vAlign w:val="center"/>
          </w:tcPr>
          <w:p>
            <w:pPr>
              <w:spacing w:before="120" w:after="120"/>
              <w:jc w:val="center"/>
              <w:textAlignment w:val="center"/>
              <w:rPr>
                <w:bCs/>
                <w:szCs w:val="21"/>
              </w:rPr>
            </w:pPr>
            <w:r>
              <w:rPr>
                <w:color w:val="000000"/>
                <w:kern w:val="0"/>
                <w:sz w:val="20"/>
                <w:lang w:bidi="ar"/>
              </w:rPr>
              <w:t>-0.53%</w:t>
            </w:r>
          </w:p>
        </w:tc>
        <w:tc>
          <w:tcPr>
            <w:tcW w:w="484" w:type="pct"/>
            <w:vAlign w:val="center"/>
          </w:tcPr>
          <w:p>
            <w:pPr>
              <w:spacing w:before="120" w:after="120"/>
              <w:jc w:val="center"/>
              <w:textAlignment w:val="center"/>
              <w:rPr>
                <w:bCs/>
                <w:szCs w:val="21"/>
              </w:rPr>
            </w:pPr>
            <w:r>
              <w:rPr>
                <w:color w:val="000000"/>
                <w:kern w:val="0"/>
                <w:sz w:val="20"/>
                <w:lang w:bidi="ar"/>
              </w:rPr>
              <w:t>-0.02%</w:t>
            </w:r>
          </w:p>
        </w:tc>
        <w:tc>
          <w:tcPr>
            <w:tcW w:w="484" w:type="pct"/>
            <w:vAlign w:val="center"/>
          </w:tcPr>
          <w:p>
            <w:pPr>
              <w:spacing w:before="120" w:after="120"/>
              <w:jc w:val="center"/>
              <w:textAlignment w:val="center"/>
              <w:rPr>
                <w:bCs/>
                <w:szCs w:val="21"/>
              </w:rPr>
            </w:pPr>
            <w:r>
              <w:rPr>
                <w:color w:val="000000"/>
                <w:kern w:val="0"/>
                <w:sz w:val="20"/>
                <w:lang w:bidi="ar"/>
              </w:rPr>
              <w:t>0.01%</w:t>
            </w:r>
          </w:p>
        </w:tc>
        <w:tc>
          <w:tcPr>
            <w:tcW w:w="552" w:type="pct"/>
            <w:vAlign w:val="center"/>
          </w:tcPr>
          <w:p>
            <w:pPr>
              <w:spacing w:before="120" w:after="120"/>
              <w:jc w:val="center"/>
              <w:textAlignment w:val="center"/>
              <w:rPr>
                <w:rFonts w:ascii="宋体" w:hAnsi="宋体" w:cs="宋体"/>
                <w:color w:val="000000"/>
                <w:sz w:val="24"/>
                <w:szCs w:val="24"/>
              </w:rPr>
            </w:pPr>
            <w:r>
              <w:rPr>
                <w:color w:val="000000"/>
                <w:kern w:val="0"/>
                <w:sz w:val="20"/>
                <w:lang w:bidi="ar"/>
              </w:rPr>
              <w:t>-0.03%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pct"/>
            <w:vAlign w:val="center"/>
          </w:tcPr>
          <w:p>
            <w:pPr>
              <w:spacing w:before="120" w:after="120"/>
              <w:jc w:val="center"/>
              <w:rPr>
                <w:bCs/>
              </w:rPr>
            </w:pPr>
            <w:r>
              <w:rPr>
                <w:rFonts w:hint="eastAsia"/>
                <w:bCs/>
              </w:rPr>
              <w:t>Rank = 3</w:t>
            </w:r>
          </w:p>
        </w:tc>
        <w:tc>
          <w:tcPr>
            <w:tcW w:w="484" w:type="pct"/>
            <w:vAlign w:val="center"/>
          </w:tcPr>
          <w:p>
            <w:pPr>
              <w:spacing w:before="120" w:after="120"/>
              <w:jc w:val="center"/>
              <w:textAlignment w:val="center"/>
              <w:rPr>
                <w:bCs/>
                <w:szCs w:val="21"/>
              </w:rPr>
            </w:pPr>
            <w:r>
              <w:rPr>
                <w:color w:val="000000"/>
                <w:kern w:val="0"/>
                <w:sz w:val="20"/>
                <w:lang w:bidi="ar"/>
              </w:rPr>
              <w:t>2.97%</w:t>
            </w:r>
          </w:p>
        </w:tc>
        <w:tc>
          <w:tcPr>
            <w:tcW w:w="484" w:type="pct"/>
            <w:vAlign w:val="center"/>
          </w:tcPr>
          <w:p>
            <w:pPr>
              <w:spacing w:before="120" w:after="120"/>
              <w:jc w:val="center"/>
              <w:textAlignment w:val="center"/>
              <w:rPr>
                <w:bCs/>
                <w:szCs w:val="21"/>
              </w:rPr>
            </w:pPr>
            <w:r>
              <w:rPr>
                <w:color w:val="000000"/>
                <w:kern w:val="0"/>
                <w:sz w:val="20"/>
                <w:lang w:bidi="ar"/>
              </w:rPr>
              <w:t>-0.28%</w:t>
            </w:r>
          </w:p>
        </w:tc>
        <w:tc>
          <w:tcPr>
            <w:tcW w:w="484" w:type="pct"/>
            <w:vAlign w:val="center"/>
          </w:tcPr>
          <w:p>
            <w:pPr>
              <w:spacing w:before="120" w:after="120"/>
              <w:jc w:val="center"/>
              <w:textAlignment w:val="center"/>
              <w:rPr>
                <w:bCs/>
                <w:szCs w:val="21"/>
              </w:rPr>
            </w:pPr>
            <w:r>
              <w:rPr>
                <w:color w:val="000000"/>
                <w:kern w:val="0"/>
                <w:sz w:val="20"/>
                <w:lang w:bidi="ar"/>
              </w:rPr>
              <w:t>-2.56%</w:t>
            </w:r>
          </w:p>
        </w:tc>
        <w:tc>
          <w:tcPr>
            <w:tcW w:w="484" w:type="pct"/>
            <w:vAlign w:val="center"/>
          </w:tcPr>
          <w:p>
            <w:pPr>
              <w:spacing w:before="120" w:after="120"/>
              <w:jc w:val="center"/>
              <w:textAlignment w:val="center"/>
              <w:rPr>
                <w:bCs/>
                <w:szCs w:val="21"/>
              </w:rPr>
            </w:pPr>
            <w:r>
              <w:rPr>
                <w:color w:val="000000"/>
                <w:kern w:val="0"/>
                <w:sz w:val="20"/>
                <w:lang w:bidi="ar"/>
              </w:rPr>
              <w:t>-1.19%</w:t>
            </w:r>
          </w:p>
        </w:tc>
        <w:tc>
          <w:tcPr>
            <w:tcW w:w="484" w:type="pct"/>
            <w:vAlign w:val="center"/>
          </w:tcPr>
          <w:p>
            <w:pPr>
              <w:spacing w:before="120" w:after="120"/>
              <w:jc w:val="center"/>
              <w:textAlignment w:val="center"/>
              <w:rPr>
                <w:bCs/>
                <w:szCs w:val="21"/>
              </w:rPr>
            </w:pPr>
            <w:r>
              <w:rPr>
                <w:color w:val="000000"/>
                <w:kern w:val="0"/>
                <w:sz w:val="20"/>
                <w:lang w:bidi="ar"/>
              </w:rPr>
              <w:t>-1.20%</w:t>
            </w:r>
          </w:p>
        </w:tc>
        <w:tc>
          <w:tcPr>
            <w:tcW w:w="484" w:type="pct"/>
            <w:vAlign w:val="center"/>
          </w:tcPr>
          <w:p>
            <w:pPr>
              <w:spacing w:before="120" w:after="120"/>
              <w:jc w:val="center"/>
              <w:textAlignment w:val="center"/>
              <w:rPr>
                <w:bCs/>
                <w:szCs w:val="21"/>
              </w:rPr>
            </w:pPr>
            <w:r>
              <w:rPr>
                <w:color w:val="000000"/>
                <w:kern w:val="0"/>
                <w:sz w:val="20"/>
                <w:lang w:bidi="ar"/>
              </w:rPr>
              <w:t>-3.75%</w:t>
            </w:r>
          </w:p>
        </w:tc>
        <w:tc>
          <w:tcPr>
            <w:tcW w:w="484" w:type="pct"/>
            <w:vAlign w:val="center"/>
          </w:tcPr>
          <w:p>
            <w:pPr>
              <w:spacing w:before="120" w:after="120"/>
              <w:jc w:val="center"/>
              <w:textAlignment w:val="center"/>
              <w:rPr>
                <w:bCs/>
                <w:szCs w:val="21"/>
              </w:rPr>
            </w:pPr>
            <w:r>
              <w:rPr>
                <w:color w:val="000000"/>
                <w:kern w:val="0"/>
                <w:sz w:val="20"/>
                <w:lang w:bidi="ar"/>
              </w:rPr>
              <w:t>-2.04%</w:t>
            </w:r>
          </w:p>
        </w:tc>
        <w:tc>
          <w:tcPr>
            <w:tcW w:w="552" w:type="pct"/>
            <w:vAlign w:val="center"/>
          </w:tcPr>
          <w:p>
            <w:pPr>
              <w:spacing w:before="120" w:after="120"/>
              <w:jc w:val="center"/>
              <w:textAlignment w:val="center"/>
              <w:rPr>
                <w:rFonts w:ascii="宋体" w:hAnsi="宋体" w:cs="宋体"/>
                <w:color w:val="000000"/>
                <w:sz w:val="24"/>
                <w:szCs w:val="24"/>
              </w:rPr>
            </w:pPr>
            <w:r>
              <w:rPr>
                <w:color w:val="000000"/>
                <w:kern w:val="0"/>
                <w:sz w:val="20"/>
                <w:lang w:bidi="ar"/>
              </w:rPr>
              <w:t>-1.15%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pct"/>
            <w:vAlign w:val="center"/>
          </w:tcPr>
          <w:p>
            <w:pPr>
              <w:spacing w:before="120" w:after="120"/>
              <w:jc w:val="center"/>
              <w:rPr>
                <w:bCs/>
              </w:rPr>
            </w:pPr>
            <w:r>
              <w:rPr>
                <w:rFonts w:hint="eastAsia"/>
                <w:bCs/>
              </w:rPr>
              <w:t>Rank = 4</w:t>
            </w:r>
          </w:p>
        </w:tc>
        <w:tc>
          <w:tcPr>
            <w:tcW w:w="484" w:type="pct"/>
            <w:vAlign w:val="center"/>
          </w:tcPr>
          <w:p>
            <w:pPr>
              <w:spacing w:before="120" w:after="120"/>
              <w:jc w:val="center"/>
              <w:textAlignment w:val="center"/>
              <w:rPr>
                <w:bCs/>
                <w:szCs w:val="21"/>
              </w:rPr>
            </w:pPr>
            <w:r>
              <w:rPr>
                <w:color w:val="000000"/>
                <w:kern w:val="0"/>
                <w:sz w:val="20"/>
                <w:lang w:bidi="ar"/>
              </w:rPr>
              <w:t>-0.92%</w:t>
            </w:r>
          </w:p>
        </w:tc>
        <w:tc>
          <w:tcPr>
            <w:tcW w:w="484" w:type="pct"/>
            <w:vAlign w:val="center"/>
          </w:tcPr>
          <w:p>
            <w:pPr>
              <w:spacing w:before="120" w:after="120"/>
              <w:jc w:val="center"/>
              <w:textAlignment w:val="center"/>
              <w:rPr>
                <w:bCs/>
                <w:szCs w:val="21"/>
              </w:rPr>
            </w:pPr>
            <w:r>
              <w:rPr>
                <w:color w:val="000000"/>
                <w:kern w:val="0"/>
                <w:sz w:val="20"/>
                <w:lang w:bidi="ar"/>
              </w:rPr>
              <w:t>-1.49%</w:t>
            </w:r>
          </w:p>
        </w:tc>
        <w:tc>
          <w:tcPr>
            <w:tcW w:w="484" w:type="pct"/>
            <w:vAlign w:val="center"/>
          </w:tcPr>
          <w:p>
            <w:pPr>
              <w:spacing w:before="120" w:after="120"/>
              <w:jc w:val="center"/>
              <w:textAlignment w:val="center"/>
              <w:rPr>
                <w:bCs/>
                <w:szCs w:val="21"/>
              </w:rPr>
            </w:pPr>
            <w:r>
              <w:rPr>
                <w:color w:val="000000"/>
                <w:kern w:val="0"/>
                <w:sz w:val="20"/>
                <w:lang w:bidi="ar"/>
              </w:rPr>
              <w:t>1.12%</w:t>
            </w:r>
          </w:p>
        </w:tc>
        <w:tc>
          <w:tcPr>
            <w:tcW w:w="484" w:type="pct"/>
            <w:vAlign w:val="center"/>
          </w:tcPr>
          <w:p>
            <w:pPr>
              <w:spacing w:before="120" w:after="120"/>
              <w:jc w:val="center"/>
              <w:textAlignment w:val="center"/>
              <w:rPr>
                <w:bCs/>
                <w:szCs w:val="21"/>
              </w:rPr>
            </w:pPr>
            <w:r>
              <w:rPr>
                <w:color w:val="000000"/>
                <w:kern w:val="0"/>
                <w:sz w:val="20"/>
                <w:lang w:bidi="ar"/>
              </w:rPr>
              <w:t>-0.81%</w:t>
            </w:r>
          </w:p>
        </w:tc>
        <w:tc>
          <w:tcPr>
            <w:tcW w:w="484" w:type="pct"/>
            <w:vAlign w:val="center"/>
          </w:tcPr>
          <w:p>
            <w:pPr>
              <w:spacing w:before="120" w:after="120"/>
              <w:jc w:val="center"/>
              <w:textAlignment w:val="center"/>
              <w:rPr>
                <w:bCs/>
                <w:szCs w:val="21"/>
              </w:rPr>
            </w:pPr>
            <w:r>
              <w:rPr>
                <w:color w:val="000000"/>
                <w:kern w:val="0"/>
                <w:sz w:val="20"/>
                <w:lang w:bidi="ar"/>
              </w:rPr>
              <w:t>-2.56%</w:t>
            </w:r>
          </w:p>
        </w:tc>
        <w:tc>
          <w:tcPr>
            <w:tcW w:w="484" w:type="pct"/>
            <w:vAlign w:val="center"/>
          </w:tcPr>
          <w:p>
            <w:pPr>
              <w:spacing w:before="120" w:after="120"/>
              <w:jc w:val="center"/>
              <w:textAlignment w:val="center"/>
              <w:rPr>
                <w:bCs/>
                <w:szCs w:val="21"/>
              </w:rPr>
            </w:pPr>
            <w:r>
              <w:rPr>
                <w:color w:val="000000"/>
                <w:kern w:val="0"/>
                <w:sz w:val="20"/>
                <w:lang w:bidi="ar"/>
              </w:rPr>
              <w:t>-1.77%</w:t>
            </w:r>
          </w:p>
        </w:tc>
        <w:tc>
          <w:tcPr>
            <w:tcW w:w="484" w:type="pct"/>
            <w:vAlign w:val="center"/>
          </w:tcPr>
          <w:p>
            <w:pPr>
              <w:spacing w:before="120" w:after="120"/>
              <w:jc w:val="center"/>
              <w:textAlignment w:val="center"/>
              <w:rPr>
                <w:bCs/>
                <w:szCs w:val="21"/>
              </w:rPr>
            </w:pPr>
            <w:r>
              <w:rPr>
                <w:color w:val="000000"/>
                <w:kern w:val="0"/>
                <w:sz w:val="20"/>
                <w:lang w:bidi="ar"/>
              </w:rPr>
              <w:t>-5.96%</w:t>
            </w:r>
          </w:p>
        </w:tc>
        <w:tc>
          <w:tcPr>
            <w:tcW w:w="552" w:type="pct"/>
            <w:vAlign w:val="center"/>
          </w:tcPr>
          <w:p>
            <w:pPr>
              <w:spacing w:before="120" w:after="120"/>
              <w:jc w:val="center"/>
              <w:textAlignment w:val="center"/>
              <w:rPr>
                <w:rFonts w:ascii="宋体" w:hAnsi="宋体" w:cs="宋体"/>
                <w:color w:val="000000"/>
                <w:szCs w:val="21"/>
              </w:rPr>
            </w:pPr>
            <w:r>
              <w:rPr>
                <w:color w:val="000000"/>
                <w:kern w:val="0"/>
                <w:sz w:val="20"/>
                <w:lang w:bidi="ar"/>
              </w:rPr>
              <w:t>-1.77%</w:t>
            </w:r>
          </w:p>
        </w:tc>
      </w:tr>
    </w:tbl>
    <w:p>
      <w:pPr>
        <w:spacing w:before="120" w:after="120"/>
      </w:pPr>
    </w:p>
    <w:p>
      <w:pPr>
        <w:spacing w:before="120" w:after="120"/>
      </w:pPr>
      <w:r>
        <w:rPr>
          <w:rFonts w:hint="eastAsia"/>
        </w:rPr>
        <w:t>According to the simulation results</w:t>
      </w:r>
      <w:r>
        <w:t xml:space="preserve"> in the case of fixed rank</w:t>
      </w:r>
      <w:r>
        <w:rPr>
          <w:rFonts w:hint="eastAsia"/>
        </w:rPr>
        <w:t xml:space="preserve">, </w:t>
      </w:r>
      <w:r>
        <w:t xml:space="preserve">it can be seen that </w:t>
      </w:r>
      <w:r>
        <w:rPr>
          <w:rFonts w:hint="eastAsia"/>
        </w:rPr>
        <w:t>the</w:t>
      </w:r>
      <w:r>
        <w:t xml:space="preserve"> average</w:t>
      </w:r>
      <w:r>
        <w:rPr>
          <w:rFonts w:hint="eastAsia"/>
        </w:rPr>
        <w:t xml:space="preserve"> throughput</w:t>
      </w:r>
      <w:r>
        <w:t xml:space="preserve"> loss</w:t>
      </w:r>
      <w:r>
        <w:rPr>
          <w:rFonts w:hint="eastAsia"/>
        </w:rPr>
        <w:t xml:space="preserve"> of </w:t>
      </w:r>
      <w:r>
        <w:t xml:space="preserve">derived precoding </w:t>
      </w:r>
      <w:r>
        <w:rPr>
          <w:rFonts w:hint="eastAsia"/>
        </w:rPr>
        <w:t xml:space="preserve">matrices </w:t>
      </w:r>
      <w:r>
        <w:t>by a precoding matrix with a larger port number</w:t>
      </w:r>
      <w:r>
        <w:rPr>
          <w:rFonts w:hint="eastAsia"/>
        </w:rPr>
        <w:t xml:space="preserve"> </w:t>
      </w:r>
      <w:r>
        <w:t xml:space="preserve">is less than 2% relative to that of </w:t>
      </w:r>
      <w:r>
        <w:rPr>
          <w:rFonts w:hint="eastAsia"/>
        </w:rPr>
        <w:t xml:space="preserve">using </w:t>
      </w:r>
      <w:r>
        <w:t>real precoding matrix, i.e., the</w:t>
      </w:r>
      <w:r>
        <w:rPr>
          <w:rFonts w:hint="eastAsia"/>
        </w:rPr>
        <w:t xml:space="preserve"> throughput</w:t>
      </w:r>
      <w:r>
        <w:t xml:space="preserve"> performance of </w:t>
      </w:r>
      <w:r>
        <w:rPr>
          <w:rFonts w:hint="eastAsia"/>
        </w:rPr>
        <w:t xml:space="preserve">using </w:t>
      </w:r>
      <w:r>
        <w:t xml:space="preserve">a derived precoding matrix and real precoding matrix </w:t>
      </w:r>
      <w:r>
        <w:rPr>
          <w:rFonts w:hint="eastAsia"/>
        </w:rPr>
        <w:t>is nearly</w:t>
      </w:r>
      <w:r>
        <w:t xml:space="preserve"> the</w:t>
      </w:r>
      <w:r>
        <w:rPr>
          <w:rFonts w:hint="eastAsia"/>
        </w:rPr>
        <w:t xml:space="preserve"> same.</w:t>
      </w:r>
    </w:p>
    <w:p>
      <w:pPr>
        <w:pStyle w:val="30"/>
        <w:spacing w:before="120" w:after="120"/>
        <w:rPr>
          <w:lang w:val="en-US" w:eastAsia="zh-CN"/>
        </w:rPr>
      </w:pPr>
      <w:bookmarkStart w:id="85" w:name="_Toc23960"/>
      <w:bookmarkStart w:id="86" w:name="_Toc28357"/>
      <w:bookmarkStart w:id="87" w:name="_Toc27605"/>
      <w:r>
        <w:t>The</w:t>
      </w:r>
      <w:r>
        <w:rPr>
          <w:rFonts w:hint="eastAsia"/>
        </w:rPr>
        <w:t xml:space="preserve"> throughput</w:t>
      </w:r>
      <w:r>
        <w:t xml:space="preserve"> performance of </w:t>
      </w:r>
      <w:r>
        <w:rPr>
          <w:rFonts w:hint="eastAsia"/>
          <w:lang w:val="en-US" w:eastAsia="zh-CN"/>
        </w:rPr>
        <w:t>using a derived precoding matrix</w:t>
      </w:r>
      <w:r>
        <w:t xml:space="preserve"> and </w:t>
      </w:r>
      <w:r>
        <w:rPr>
          <w:rFonts w:hint="eastAsia"/>
          <w:lang w:val="en-US" w:eastAsia="zh-CN"/>
        </w:rPr>
        <w:t xml:space="preserve">using a real precoding matrix </w:t>
      </w:r>
      <w:r>
        <w:rPr>
          <w:rFonts w:hint="eastAsia"/>
        </w:rPr>
        <w:t>is nearly</w:t>
      </w:r>
      <w:r>
        <w:t xml:space="preserve"> the</w:t>
      </w:r>
      <w:r>
        <w:rPr>
          <w:rFonts w:hint="eastAsia"/>
        </w:rPr>
        <w:t xml:space="preserve"> same</w:t>
      </w:r>
      <w:r>
        <w:rPr>
          <w:rFonts w:hint="eastAsia"/>
          <w:lang w:val="en-US" w:eastAsia="zh-CN"/>
        </w:rPr>
        <w:t xml:space="preserve"> if rank is fixed</w:t>
      </w:r>
      <w:r>
        <w:t>.</w:t>
      </w:r>
      <w:bookmarkEnd w:id="85"/>
      <w:bookmarkEnd w:id="86"/>
      <w:bookmarkEnd w:id="87"/>
    </w:p>
    <w:p>
      <w:pPr>
        <w:numPr>
          <w:ilvl w:val="0"/>
          <w:numId w:val="15"/>
        </w:numPr>
        <w:spacing w:before="120" w:after="120"/>
        <w:rPr>
          <w:b/>
          <w:bCs/>
        </w:rPr>
      </w:pPr>
      <w:r>
        <w:rPr>
          <w:b/>
          <w:bCs/>
        </w:rPr>
        <w:t>Flexible</w:t>
      </w:r>
      <w:r>
        <w:rPr>
          <w:rFonts w:hint="eastAsia"/>
          <w:b/>
          <w:bCs/>
        </w:rPr>
        <w:t xml:space="preserve"> rank</w:t>
      </w:r>
    </w:p>
    <w:p>
      <w:pPr>
        <w:spacing w:before="120" w:after="120"/>
      </w:pPr>
      <w:r>
        <w:t>Considering the high correlation and small throughput performance in LLS, a promising CSI overhead solution is to using one PMI, i.e.,</w:t>
      </w:r>
      <w:r>
        <w:rPr>
          <w:rFonts w:hint="eastAsia"/>
        </w:rPr>
        <w:t xml:space="preserve"> not transmit</w:t>
      </w:r>
      <w:r>
        <w:t>ting</w:t>
      </w:r>
      <w:r>
        <w:rPr>
          <w:rFonts w:hint="eastAsia"/>
        </w:rPr>
        <w:t xml:space="preserve"> the PMI with smaller number of ports.</w:t>
      </w:r>
    </w:p>
    <w:p>
      <w:pPr>
        <w:spacing w:before="120" w:after="120"/>
      </w:pPr>
      <w:r>
        <w:rPr>
          <w:rFonts w:hint="eastAsia"/>
        </w:rPr>
        <w:t xml:space="preserve">The performance </w:t>
      </w:r>
      <w:r>
        <w:t xml:space="preserve">comparison </w:t>
      </w:r>
      <w:r>
        <w:rPr>
          <w:rFonts w:hint="eastAsia"/>
        </w:rPr>
        <w:t xml:space="preserve">of </w:t>
      </w:r>
      <w:r>
        <w:t>one PMI</w:t>
      </w:r>
      <w:r>
        <w:rPr>
          <w:rFonts w:hint="eastAsia"/>
        </w:rPr>
        <w:t xml:space="preserve"> and multiple PMIs</w:t>
      </w:r>
      <w:r>
        <w:t xml:space="preserve"> are evaluated in SLS</w:t>
      </w:r>
      <w:r>
        <w:rPr>
          <w:rFonts w:hint="eastAsia"/>
        </w:rPr>
        <w:t>.</w:t>
      </w:r>
      <w:r>
        <w:t xml:space="preserve"> In the evaluation of using one PMI to assist gNB dynamic antenna adaptation, the PMIs of other smaller CSI-RS ports are derived by gNB from </w:t>
      </w:r>
      <w:r>
        <w:rPr>
          <w:rFonts w:hint="eastAsia"/>
        </w:rPr>
        <w:t>a</w:t>
      </w:r>
      <w:r>
        <w:t xml:space="preserve"> sub-matrix of the </w:t>
      </w:r>
      <w:r>
        <w:rPr>
          <w:rFonts w:hint="eastAsia"/>
        </w:rPr>
        <w:t xml:space="preserve">precoding matrix </w:t>
      </w:r>
      <w:r>
        <w:t>of largest CSI-RS ports reported by UE. Meanwhile, for the antenna adaptation with multiple PMIs, the PMIs corresponding to all the adaptation patterns are reported.</w:t>
      </w:r>
    </w:p>
    <w:p>
      <w:pPr>
        <w:spacing w:before="120" w:after="120"/>
      </w:pPr>
      <w:r>
        <w:rPr>
          <w:rFonts w:hint="eastAsia"/>
        </w:rPr>
        <w:t>Mo</w:t>
      </w:r>
      <w:r>
        <w:t xml:space="preserve">reover, it should be noted that the RI may change when the gNB adapts TxRU patterns for energy saving or data transmission. </w:t>
      </w:r>
      <w:r>
        <w:rPr>
          <w:rFonts w:hint="eastAsia"/>
        </w:rPr>
        <w:t xml:space="preserve">When RI changes for different number of ports, the number of columns of a precoding matrix </w:t>
      </w:r>
      <w:r>
        <w:t>will change accordingly</w:t>
      </w:r>
      <w:r>
        <w:rPr>
          <w:rFonts w:hint="eastAsia"/>
        </w:rPr>
        <w:t xml:space="preserve">. </w:t>
      </w:r>
      <w:r>
        <w:t>Different from LLS, the</w:t>
      </w:r>
      <w:r>
        <w:rPr>
          <w:rFonts w:hint="eastAsia"/>
        </w:rPr>
        <w:t xml:space="preserve"> RI changes</w:t>
      </w:r>
      <w:r>
        <w:t xml:space="preserve"> due to spatial adaptation is also considered in</w:t>
      </w:r>
      <w:r>
        <w:rPr>
          <w:rFonts w:hint="eastAsia"/>
        </w:rPr>
        <w:t xml:space="preserve"> simulation</w:t>
      </w:r>
      <w:r>
        <w:t>s</w:t>
      </w:r>
      <w:r>
        <w:rPr>
          <w:rFonts w:hint="eastAsia"/>
        </w:rPr>
        <w:t xml:space="preserve"> of dynamic gNB antenna</w:t>
      </w:r>
      <w:r>
        <w:t xml:space="preserve"> adaptation</w:t>
      </w:r>
      <w:r>
        <w:rPr>
          <w:rFonts w:hint="eastAsia"/>
        </w:rPr>
        <w:t xml:space="preserve"> </w:t>
      </w:r>
      <w:r>
        <w:t>among</w:t>
      </w:r>
      <w:r>
        <w:rPr>
          <w:rFonts w:hint="eastAsia"/>
        </w:rPr>
        <w:t xml:space="preserve"> {32ports, 24ports, 16ports}. In this simulation, FTP 3 traffic</w:t>
      </w:r>
      <w:r>
        <w:t xml:space="preserve"> </w:t>
      </w:r>
      <w:r>
        <w:rPr>
          <w:rFonts w:hint="eastAsia"/>
        </w:rPr>
        <w:t>(packet size = 4KByte, average interval time =10ms) is used.</w:t>
      </w:r>
    </w:p>
    <w:p>
      <w:pPr>
        <w:spacing w:before="120" w:after="120"/>
      </w:pPr>
      <w:r>
        <w:rPr>
          <w:rFonts w:hint="eastAsia"/>
        </w:rPr>
        <w:t>T</w:t>
      </w:r>
      <w:r>
        <w:t xml:space="preserve">he distribution of RI change is provided in Figure </w:t>
      </w:r>
      <w:r>
        <w:rPr>
          <w:rFonts w:hint="eastAsia"/>
        </w:rPr>
        <w:t>6</w:t>
      </w:r>
      <w:r>
        <w:t>. It can be seen that in most cases (about 80%), the RI will not update due to gNB antenna adaptation, while in 20% cases, the RI will be impacted when gNB antenna number is dynamically adapted from 32 ports to 24 or 16 ports.</w:t>
      </w:r>
    </w:p>
    <w:p>
      <w:pPr>
        <w:spacing w:before="120" w:after="120"/>
        <w:jc w:val="center"/>
      </w:pPr>
      <w:r>
        <w:drawing>
          <wp:inline distT="0" distB="0" distL="114300" distR="114300">
            <wp:extent cx="4080510" cy="2155825"/>
            <wp:effectExtent l="0" t="0" r="15240" b="15875"/>
            <wp:docPr id="8"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5"/>
              </a:graphicData>
            </a:graphic>
          </wp:inline>
        </w:drawing>
      </w:r>
    </w:p>
    <w:p>
      <w:pPr>
        <w:spacing w:before="120" w:after="120"/>
        <w:jc w:val="center"/>
      </w:pPr>
      <w:r>
        <w:rPr>
          <w:rFonts w:hint="eastAsia"/>
        </w:rPr>
        <w:t xml:space="preserve">Figure 6 RI </w:t>
      </w:r>
      <w:r>
        <w:t>change</w:t>
      </w:r>
      <w:r>
        <w:rPr>
          <w:rFonts w:hint="eastAsia"/>
        </w:rPr>
        <w:t xml:space="preserve"> distribution</w:t>
      </w:r>
    </w:p>
    <w:p>
      <w:pPr>
        <w:spacing w:before="120" w:after="120"/>
        <w:jc w:val="center"/>
      </w:pPr>
      <w:r>
        <w:rPr>
          <w:rFonts w:hint="eastAsia"/>
        </w:rPr>
        <w:t xml:space="preserve">Table </w:t>
      </w:r>
      <w:r>
        <w:t>4</w:t>
      </w:r>
      <w:r>
        <w:rPr>
          <w:rFonts w:hint="eastAsia"/>
        </w:rPr>
        <w:t xml:space="preserve"> Throughput loss of single PMI reporting compared with multi-PMI reporting with flexible RI</w:t>
      </w:r>
      <w:r>
        <w:t xml:space="preserve"> for dynamic gNB antenna adaptation among</w:t>
      </w:r>
      <w:r>
        <w:rPr>
          <w:rFonts w:hint="eastAsia"/>
        </w:rPr>
        <w:t xml:space="preserve"> {32ports, 24ports, 16ports}</w:t>
      </w:r>
    </w:p>
    <w:tbl>
      <w:tblPr>
        <w:tblStyle w:val="18"/>
        <w:tblW w:w="9521" w:type="dxa"/>
        <w:jc w:val="center"/>
        <w:tblCellSpacing w:w="0" w:type="dxa"/>
        <w:tblLayout w:type="autofit"/>
        <w:tblCellMar>
          <w:top w:w="0" w:type="dxa"/>
          <w:left w:w="0" w:type="dxa"/>
          <w:bottom w:w="0" w:type="dxa"/>
          <w:right w:w="0" w:type="dxa"/>
        </w:tblCellMar>
      </w:tblPr>
      <w:tblGrid>
        <w:gridCol w:w="1457"/>
        <w:gridCol w:w="2016"/>
        <w:gridCol w:w="2016"/>
        <w:gridCol w:w="2016"/>
        <w:gridCol w:w="2016"/>
      </w:tblGrid>
      <w:tr>
        <w:tblPrEx>
          <w:tblCellMar>
            <w:top w:w="0" w:type="dxa"/>
            <w:left w:w="0" w:type="dxa"/>
            <w:bottom w:w="0" w:type="dxa"/>
            <w:right w:w="0" w:type="dxa"/>
          </w:tblCellMar>
        </w:tblPrEx>
        <w:trPr>
          <w:trHeight w:val="440" w:hRule="atLeast"/>
          <w:tblCellSpacing w:w="0" w:type="dxa"/>
          <w:jc w:val="center"/>
        </w:trPr>
        <w:tc>
          <w:tcPr>
            <w:tcW w:w="1457" w:type="dxa"/>
            <w:tcBorders>
              <w:top w:val="single" w:color="FFFFFF" w:sz="6" w:space="0"/>
              <w:left w:val="single" w:color="FFFFFF" w:sz="6" w:space="0"/>
              <w:bottom w:val="single" w:color="FFFFFF" w:sz="18" w:space="0"/>
              <w:right w:val="single" w:color="FFFFFF" w:sz="6" w:space="0"/>
            </w:tcBorders>
            <w:shd w:val="clear" w:color="auto" w:fill="4F81BD"/>
            <w:tcMar>
              <w:top w:w="54" w:type="dxa"/>
              <w:left w:w="108" w:type="dxa"/>
              <w:bottom w:w="54" w:type="dxa"/>
              <w:right w:w="108" w:type="dxa"/>
            </w:tcMar>
            <w:vAlign w:val="center"/>
          </w:tcPr>
          <w:p>
            <w:pPr>
              <w:pStyle w:val="16"/>
              <w:spacing w:before="120" w:after="120"/>
              <w:jc w:val="center"/>
              <w:rPr>
                <w:sz w:val="16"/>
              </w:rPr>
            </w:pPr>
          </w:p>
        </w:tc>
        <w:tc>
          <w:tcPr>
            <w:tcW w:w="2016" w:type="dxa"/>
            <w:tcBorders>
              <w:top w:val="single" w:color="FFFFFF" w:sz="6" w:space="0"/>
              <w:left w:val="single" w:color="FFFFFF" w:sz="6" w:space="0"/>
              <w:bottom w:val="single" w:color="FFFFFF" w:sz="18" w:space="0"/>
              <w:right w:val="single" w:color="FFFFFF" w:sz="6" w:space="0"/>
            </w:tcBorders>
            <w:shd w:val="clear" w:color="auto" w:fill="4F81BD"/>
            <w:tcMar>
              <w:top w:w="54" w:type="dxa"/>
              <w:left w:w="108" w:type="dxa"/>
              <w:bottom w:w="54" w:type="dxa"/>
              <w:right w:w="108" w:type="dxa"/>
            </w:tcMar>
            <w:vAlign w:val="center"/>
          </w:tcPr>
          <w:p>
            <w:pPr>
              <w:pStyle w:val="16"/>
              <w:spacing w:before="120" w:after="120"/>
              <w:jc w:val="center"/>
              <w:rPr>
                <w:sz w:val="16"/>
              </w:rPr>
            </w:pPr>
            <w:r>
              <w:rPr>
                <w:b/>
                <w:color w:val="FFFFFF"/>
                <w:sz w:val="16"/>
                <w:szCs w:val="14"/>
              </w:rPr>
              <w:t>Average UE throughput</w:t>
            </w:r>
          </w:p>
        </w:tc>
        <w:tc>
          <w:tcPr>
            <w:tcW w:w="2016" w:type="dxa"/>
            <w:tcBorders>
              <w:top w:val="single" w:color="FFFFFF" w:sz="6" w:space="0"/>
              <w:left w:val="single" w:color="FFFFFF" w:sz="6" w:space="0"/>
              <w:bottom w:val="single" w:color="FFFFFF" w:sz="18" w:space="0"/>
              <w:right w:val="single" w:color="FFFFFF" w:sz="6" w:space="0"/>
            </w:tcBorders>
            <w:shd w:val="clear" w:color="auto" w:fill="4F81BD"/>
            <w:tcMar>
              <w:top w:w="54" w:type="dxa"/>
              <w:left w:w="108" w:type="dxa"/>
              <w:bottom w:w="54" w:type="dxa"/>
              <w:right w:w="108" w:type="dxa"/>
            </w:tcMar>
            <w:vAlign w:val="center"/>
          </w:tcPr>
          <w:p>
            <w:pPr>
              <w:pStyle w:val="16"/>
              <w:spacing w:before="120" w:after="120"/>
              <w:jc w:val="center"/>
              <w:rPr>
                <w:sz w:val="16"/>
              </w:rPr>
            </w:pPr>
            <w:r>
              <w:rPr>
                <w:b/>
                <w:color w:val="FFFFFF"/>
                <w:sz w:val="16"/>
                <w:szCs w:val="14"/>
              </w:rPr>
              <w:t>5% UE throughput</w:t>
            </w:r>
          </w:p>
        </w:tc>
        <w:tc>
          <w:tcPr>
            <w:tcW w:w="2016" w:type="dxa"/>
            <w:tcBorders>
              <w:top w:val="single" w:color="FFFFFF" w:sz="6" w:space="0"/>
              <w:left w:val="single" w:color="FFFFFF" w:sz="6" w:space="0"/>
              <w:bottom w:val="single" w:color="FFFFFF" w:sz="18" w:space="0"/>
              <w:right w:val="single" w:color="FFFFFF" w:sz="6" w:space="0"/>
            </w:tcBorders>
            <w:shd w:val="clear" w:color="auto" w:fill="4F81BD"/>
            <w:tcMar>
              <w:top w:w="54" w:type="dxa"/>
              <w:left w:w="108" w:type="dxa"/>
              <w:bottom w:w="54" w:type="dxa"/>
              <w:right w:w="108" w:type="dxa"/>
            </w:tcMar>
            <w:vAlign w:val="center"/>
          </w:tcPr>
          <w:p>
            <w:pPr>
              <w:pStyle w:val="16"/>
              <w:spacing w:before="120" w:after="120"/>
              <w:jc w:val="center"/>
              <w:rPr>
                <w:sz w:val="16"/>
              </w:rPr>
            </w:pPr>
            <w:r>
              <w:rPr>
                <w:b/>
                <w:color w:val="FFFFFF"/>
                <w:sz w:val="16"/>
                <w:szCs w:val="14"/>
              </w:rPr>
              <w:t>50% UE throughput</w:t>
            </w:r>
          </w:p>
        </w:tc>
        <w:tc>
          <w:tcPr>
            <w:tcW w:w="2016" w:type="dxa"/>
            <w:tcBorders>
              <w:top w:val="single" w:color="FFFFFF" w:sz="6" w:space="0"/>
              <w:left w:val="single" w:color="FFFFFF" w:sz="6" w:space="0"/>
              <w:bottom w:val="single" w:color="FFFFFF" w:sz="18" w:space="0"/>
              <w:right w:val="single" w:color="FFFFFF" w:sz="6" w:space="0"/>
            </w:tcBorders>
            <w:shd w:val="clear" w:color="auto" w:fill="4F81BD"/>
            <w:tcMar>
              <w:top w:w="54" w:type="dxa"/>
              <w:left w:w="108" w:type="dxa"/>
              <w:bottom w:w="54" w:type="dxa"/>
              <w:right w:w="108" w:type="dxa"/>
            </w:tcMar>
            <w:vAlign w:val="center"/>
          </w:tcPr>
          <w:p>
            <w:pPr>
              <w:pStyle w:val="16"/>
              <w:spacing w:before="120" w:after="120"/>
              <w:jc w:val="center"/>
              <w:rPr>
                <w:sz w:val="16"/>
              </w:rPr>
            </w:pPr>
            <w:r>
              <w:rPr>
                <w:b/>
                <w:color w:val="FFFFFF"/>
                <w:sz w:val="16"/>
                <w:szCs w:val="14"/>
              </w:rPr>
              <w:t>95% UE throughput</w:t>
            </w:r>
          </w:p>
        </w:tc>
      </w:tr>
      <w:tr>
        <w:tblPrEx>
          <w:tblCellMar>
            <w:top w:w="0" w:type="dxa"/>
            <w:left w:w="0" w:type="dxa"/>
            <w:bottom w:w="0" w:type="dxa"/>
            <w:right w:w="0" w:type="dxa"/>
          </w:tblCellMar>
        </w:tblPrEx>
        <w:trPr>
          <w:trHeight w:val="340" w:hRule="atLeast"/>
          <w:tblCellSpacing w:w="0" w:type="dxa"/>
          <w:jc w:val="center"/>
        </w:trPr>
        <w:tc>
          <w:tcPr>
            <w:tcW w:w="1457" w:type="dxa"/>
            <w:tcBorders>
              <w:top w:val="single" w:color="FFFFFF" w:sz="6" w:space="0"/>
              <w:left w:val="single" w:color="FFFFFF" w:sz="6" w:space="0"/>
              <w:bottom w:val="single" w:color="FFFFFF" w:sz="18" w:space="0"/>
              <w:right w:val="single" w:color="FFFFFF" w:sz="6" w:space="0"/>
            </w:tcBorders>
            <w:shd w:val="clear" w:color="auto" w:fill="D0D8E8"/>
            <w:tcMar>
              <w:top w:w="54" w:type="dxa"/>
              <w:left w:w="108" w:type="dxa"/>
              <w:bottom w:w="54" w:type="dxa"/>
              <w:right w:w="108" w:type="dxa"/>
            </w:tcMar>
            <w:vAlign w:val="center"/>
          </w:tcPr>
          <w:p>
            <w:pPr>
              <w:pStyle w:val="16"/>
              <w:spacing w:before="120" w:after="120"/>
              <w:jc w:val="center"/>
              <w:rPr>
                <w:sz w:val="16"/>
              </w:rPr>
            </w:pPr>
            <w:r>
              <w:rPr>
                <w:color w:val="000000"/>
                <w:sz w:val="16"/>
                <w:szCs w:val="14"/>
              </w:rPr>
              <w:t>Throughput loss</w:t>
            </w:r>
          </w:p>
        </w:tc>
        <w:tc>
          <w:tcPr>
            <w:tcW w:w="2016" w:type="dxa"/>
            <w:tcBorders>
              <w:top w:val="single" w:color="FFFFFF" w:sz="6" w:space="0"/>
              <w:left w:val="single" w:color="FFFFFF" w:sz="6" w:space="0"/>
              <w:bottom w:val="single" w:color="FFFFFF" w:sz="18" w:space="0"/>
              <w:right w:val="single" w:color="FFFFFF" w:sz="6" w:space="0"/>
            </w:tcBorders>
            <w:shd w:val="clear" w:color="auto" w:fill="D0D8E8"/>
            <w:tcMar>
              <w:top w:w="54" w:type="dxa"/>
              <w:left w:w="108" w:type="dxa"/>
              <w:bottom w:w="54" w:type="dxa"/>
              <w:right w:w="108" w:type="dxa"/>
            </w:tcMar>
            <w:vAlign w:val="center"/>
          </w:tcPr>
          <w:p>
            <w:pPr>
              <w:spacing w:before="120" w:after="120"/>
              <w:jc w:val="center"/>
              <w:textAlignment w:val="center"/>
              <w:rPr>
                <w:color w:val="000000"/>
                <w:kern w:val="0"/>
                <w:sz w:val="16"/>
                <w:szCs w:val="14"/>
                <w:lang w:bidi="ar"/>
              </w:rPr>
            </w:pPr>
            <w:r>
              <w:rPr>
                <w:color w:val="000000"/>
                <w:kern w:val="0"/>
                <w:sz w:val="16"/>
                <w:szCs w:val="14"/>
                <w:lang w:bidi="ar"/>
              </w:rPr>
              <w:t>-2.39%</w:t>
            </w:r>
          </w:p>
        </w:tc>
        <w:tc>
          <w:tcPr>
            <w:tcW w:w="2016" w:type="dxa"/>
            <w:tcBorders>
              <w:top w:val="single" w:color="FFFFFF" w:sz="6" w:space="0"/>
              <w:left w:val="single" w:color="FFFFFF" w:sz="6" w:space="0"/>
              <w:bottom w:val="single" w:color="FFFFFF" w:sz="18" w:space="0"/>
              <w:right w:val="single" w:color="FFFFFF" w:sz="6" w:space="0"/>
            </w:tcBorders>
            <w:shd w:val="clear" w:color="auto" w:fill="D0D8E8"/>
            <w:tcMar>
              <w:top w:w="54" w:type="dxa"/>
              <w:left w:w="108" w:type="dxa"/>
              <w:bottom w:w="54" w:type="dxa"/>
              <w:right w:w="108" w:type="dxa"/>
            </w:tcMar>
            <w:vAlign w:val="center"/>
          </w:tcPr>
          <w:p>
            <w:pPr>
              <w:spacing w:before="120" w:after="120"/>
              <w:jc w:val="center"/>
              <w:textAlignment w:val="center"/>
              <w:rPr>
                <w:color w:val="000000"/>
                <w:kern w:val="0"/>
                <w:sz w:val="16"/>
                <w:szCs w:val="14"/>
                <w:lang w:bidi="ar"/>
              </w:rPr>
            </w:pPr>
            <w:r>
              <w:rPr>
                <w:color w:val="000000"/>
                <w:kern w:val="0"/>
                <w:sz w:val="16"/>
                <w:szCs w:val="14"/>
                <w:lang w:bidi="ar"/>
              </w:rPr>
              <w:t>-4.74%</w:t>
            </w:r>
          </w:p>
        </w:tc>
        <w:tc>
          <w:tcPr>
            <w:tcW w:w="2016" w:type="dxa"/>
            <w:tcBorders>
              <w:top w:val="single" w:color="FFFFFF" w:sz="6" w:space="0"/>
              <w:left w:val="single" w:color="FFFFFF" w:sz="6" w:space="0"/>
              <w:bottom w:val="single" w:color="FFFFFF" w:sz="18" w:space="0"/>
              <w:right w:val="single" w:color="FFFFFF" w:sz="6" w:space="0"/>
            </w:tcBorders>
            <w:shd w:val="clear" w:color="auto" w:fill="D0D8E8"/>
            <w:tcMar>
              <w:top w:w="54" w:type="dxa"/>
              <w:left w:w="108" w:type="dxa"/>
              <w:bottom w:w="54" w:type="dxa"/>
              <w:right w:w="108" w:type="dxa"/>
            </w:tcMar>
            <w:vAlign w:val="center"/>
          </w:tcPr>
          <w:p>
            <w:pPr>
              <w:spacing w:before="120" w:after="120"/>
              <w:jc w:val="center"/>
              <w:textAlignment w:val="center"/>
              <w:rPr>
                <w:color w:val="000000"/>
                <w:kern w:val="0"/>
                <w:sz w:val="16"/>
                <w:szCs w:val="14"/>
                <w:lang w:bidi="ar"/>
              </w:rPr>
            </w:pPr>
            <w:r>
              <w:rPr>
                <w:color w:val="000000"/>
                <w:kern w:val="0"/>
                <w:sz w:val="16"/>
                <w:szCs w:val="14"/>
                <w:lang w:bidi="ar"/>
              </w:rPr>
              <w:t>-2.66%</w:t>
            </w:r>
          </w:p>
        </w:tc>
        <w:tc>
          <w:tcPr>
            <w:tcW w:w="2016" w:type="dxa"/>
            <w:tcBorders>
              <w:top w:val="single" w:color="FFFFFF" w:sz="6" w:space="0"/>
              <w:left w:val="single" w:color="FFFFFF" w:sz="6" w:space="0"/>
              <w:bottom w:val="single" w:color="FFFFFF" w:sz="18" w:space="0"/>
              <w:right w:val="single" w:color="FFFFFF" w:sz="6" w:space="0"/>
            </w:tcBorders>
            <w:shd w:val="clear" w:color="auto" w:fill="D0D8E8"/>
            <w:tcMar>
              <w:top w:w="54" w:type="dxa"/>
              <w:left w:w="108" w:type="dxa"/>
              <w:bottom w:w="54" w:type="dxa"/>
              <w:right w:w="108" w:type="dxa"/>
            </w:tcMar>
            <w:vAlign w:val="center"/>
          </w:tcPr>
          <w:p>
            <w:pPr>
              <w:spacing w:before="120" w:after="120"/>
              <w:jc w:val="center"/>
              <w:textAlignment w:val="center"/>
              <w:rPr>
                <w:color w:val="000000"/>
                <w:kern w:val="0"/>
                <w:sz w:val="16"/>
                <w:szCs w:val="14"/>
                <w:lang w:bidi="ar"/>
              </w:rPr>
            </w:pPr>
            <w:r>
              <w:rPr>
                <w:color w:val="000000"/>
                <w:kern w:val="0"/>
                <w:sz w:val="16"/>
                <w:szCs w:val="14"/>
                <w:lang w:bidi="ar"/>
              </w:rPr>
              <w:t>-1.96%</w:t>
            </w:r>
          </w:p>
        </w:tc>
      </w:tr>
    </w:tbl>
    <w:p>
      <w:pPr>
        <w:spacing w:before="120" w:after="120"/>
      </w:pPr>
    </w:p>
    <w:p>
      <w:pPr>
        <w:spacing w:before="120" w:after="120"/>
      </w:pPr>
      <w:r>
        <w:t>The t</w:t>
      </w:r>
      <w:r>
        <w:rPr>
          <w:rFonts w:hint="eastAsia"/>
        </w:rPr>
        <w:t xml:space="preserve">hroughput loss </w:t>
      </w:r>
      <w:r>
        <w:t xml:space="preserve">of </w:t>
      </w:r>
      <w:r>
        <w:rPr>
          <w:rFonts w:hint="eastAsia"/>
        </w:rPr>
        <w:t xml:space="preserve">single PMI reporting compared with multi-PMIs reporting with flexible RI </w:t>
      </w:r>
      <w:r>
        <w:t xml:space="preserve">is provided in Table 4. </w:t>
      </w:r>
      <w:r>
        <w:rPr>
          <w:rFonts w:hint="eastAsia"/>
        </w:rPr>
        <w:t>According to SLS simulation results, c</w:t>
      </w:r>
      <w:r>
        <w:t>ompared with reporting multiple PMI, the average throughput loss of single PMI is small</w:t>
      </w:r>
      <w:r>
        <w:rPr>
          <w:rFonts w:hint="eastAsia"/>
        </w:rPr>
        <w:t xml:space="preserve"> when rank is flexible.</w:t>
      </w:r>
    </w:p>
    <w:p>
      <w:pPr>
        <w:pStyle w:val="30"/>
        <w:spacing w:before="120" w:after="120"/>
        <w:rPr>
          <w:lang w:val="en-US" w:eastAsia="zh-CN"/>
        </w:rPr>
      </w:pPr>
      <w:bookmarkStart w:id="88" w:name="_Toc31764"/>
      <w:bookmarkStart w:id="89" w:name="_Toc23574"/>
      <w:bookmarkStart w:id="90" w:name="_Toc26940"/>
      <w:r>
        <w:t xml:space="preserve">Compared with reporting multiple PMI, the </w:t>
      </w:r>
      <w:r>
        <w:rPr>
          <w:rFonts w:hint="eastAsia"/>
          <w:lang w:val="en-US" w:eastAsia="zh-CN"/>
        </w:rPr>
        <w:t xml:space="preserve">average </w:t>
      </w:r>
      <w:r>
        <w:t>throughput loss of single PMI is small</w:t>
      </w:r>
      <w:r>
        <w:rPr>
          <w:rFonts w:hint="eastAsia"/>
          <w:lang w:val="en-US" w:eastAsia="zh-CN"/>
        </w:rPr>
        <w:t xml:space="preserve"> </w:t>
      </w:r>
      <w:r>
        <w:rPr>
          <w:rFonts w:hint="eastAsia"/>
        </w:rPr>
        <w:t>when rank is flexible</w:t>
      </w:r>
      <w:r>
        <w:t>.</w:t>
      </w:r>
      <w:bookmarkEnd w:id="88"/>
      <w:bookmarkEnd w:id="89"/>
      <w:bookmarkEnd w:id="90"/>
    </w:p>
    <w:p>
      <w:pPr>
        <w:spacing w:before="120" w:after="120"/>
      </w:pPr>
      <w:r>
        <w:rPr>
          <w:rFonts w:hint="eastAsia"/>
        </w:rPr>
        <w:t>T</w:t>
      </w:r>
      <w:r>
        <w:t>o this end, it can be concluded that performance of</w:t>
      </w:r>
      <w:r>
        <w:rPr>
          <w:rFonts w:hint="eastAsia"/>
        </w:rPr>
        <w:t xml:space="preserve"> </w:t>
      </w:r>
      <w:r>
        <w:t>single PMI reporting and multiple PMI reporting is similar</w:t>
      </w:r>
      <w:r>
        <w:rPr>
          <w:rFonts w:hint="eastAsia"/>
          <w:lang w:val="en-GB" w:eastAsia="en-US"/>
        </w:rPr>
        <w:t xml:space="preserve"> </w:t>
      </w:r>
      <w:r>
        <w:rPr>
          <w:rFonts w:hint="eastAsia"/>
        </w:rPr>
        <w:t>a</w:t>
      </w:r>
      <w:r>
        <w:t xml:space="preserve">nd CSI payload can be reduced with single PMI reporting. </w:t>
      </w:r>
      <w:r>
        <w:rPr>
          <w:rFonts w:hint="eastAsia"/>
        </w:rPr>
        <w:t xml:space="preserve">For </w:t>
      </w:r>
      <w:r>
        <w:t>dynamic gNB antenna adaptation among</w:t>
      </w:r>
      <w:r>
        <w:rPr>
          <w:rFonts w:hint="eastAsia"/>
        </w:rPr>
        <w:t xml:space="preserve"> {32ports, 24ports, 16ports}, </w:t>
      </w:r>
      <w:r>
        <w:t xml:space="preserve">the </w:t>
      </w:r>
      <w:r>
        <w:rPr>
          <w:rFonts w:hint="eastAsia"/>
        </w:rPr>
        <w:t>payload</w:t>
      </w:r>
      <w:r>
        <w:t>s</w:t>
      </w:r>
      <w:r>
        <w:rPr>
          <w:rFonts w:hint="eastAsia"/>
        </w:rPr>
        <w:t xml:space="preserve"> of</w:t>
      </w:r>
      <w:r>
        <w:t xml:space="preserve"> single</w:t>
      </w:r>
      <w:r>
        <w:rPr>
          <w:rFonts w:hint="eastAsia"/>
        </w:rPr>
        <w:t xml:space="preserve"> PMI reporting </w:t>
      </w:r>
      <w:r>
        <w:t>and multiple</w:t>
      </w:r>
      <w:r>
        <w:rPr>
          <w:rFonts w:hint="eastAsia"/>
        </w:rPr>
        <w:t xml:space="preserve"> PMI reporting </w:t>
      </w:r>
      <w:r>
        <w:t>are</w:t>
      </w:r>
      <w:r>
        <w:rPr>
          <w:rFonts w:hint="eastAsia"/>
        </w:rPr>
        <w:t xml:space="preserve"> shown in Table 5</w:t>
      </w:r>
      <w:r>
        <w:t>, where it is a</w:t>
      </w:r>
      <w:r>
        <w:rPr>
          <w:rFonts w:hint="eastAsia"/>
        </w:rPr>
        <w:t>ssum</w:t>
      </w:r>
      <w:r>
        <w:t>ed</w:t>
      </w:r>
      <w:r>
        <w:rPr>
          <w:rFonts w:hint="eastAsia"/>
        </w:rPr>
        <w:t xml:space="preserve"> that the bandwidth part includes 275 PRBs, subband size is 16 PRBs, the number of subband PMIs is 18</w:t>
      </w:r>
      <w:r>
        <w:t xml:space="preserve">, and rank=3. It can be observed that </w:t>
      </w:r>
      <w:r>
        <w:rPr>
          <w:rFonts w:hint="eastAsia"/>
        </w:rPr>
        <w:t>paylo</w:t>
      </w:r>
      <w:r>
        <w:t>a</w:t>
      </w:r>
      <w:r>
        <w:rPr>
          <w:rFonts w:hint="eastAsia"/>
        </w:rPr>
        <w:t>d</w:t>
      </w:r>
      <w:r>
        <w:t xml:space="preserve"> size of PMI reporting (including wideband PMI and sub-band PMI) can be reduced from </w:t>
      </w:r>
      <w:r>
        <w:rPr>
          <w:rFonts w:hint="eastAsia"/>
        </w:rPr>
        <w:t>82</w:t>
      </w:r>
      <w:r>
        <w:t xml:space="preserve"> </w:t>
      </w:r>
      <w:r>
        <w:rPr>
          <w:rFonts w:hint="eastAsia"/>
        </w:rPr>
        <w:t>bits</w:t>
      </w:r>
      <w:r>
        <w:t xml:space="preserve"> to </w:t>
      </w:r>
      <w:r>
        <w:rPr>
          <w:rFonts w:hint="eastAsia"/>
        </w:rPr>
        <w:t>28</w:t>
      </w:r>
      <w:r>
        <w:t xml:space="preserve"> </w:t>
      </w:r>
      <w:r>
        <w:rPr>
          <w:rFonts w:hint="eastAsia"/>
        </w:rPr>
        <w:t>bits</w:t>
      </w:r>
      <w:r>
        <w:t xml:space="preserve"> by single PMI, the payload size of PMI reporting can be reduced by 65%.</w:t>
      </w:r>
    </w:p>
    <w:p>
      <w:pPr>
        <w:spacing w:before="120" w:after="120"/>
      </w:pPr>
      <w:r>
        <w:t>Therefore, one PMI reporting with the largest number of ports for multiple CSIs report can should be considered to reduce the UCI overhead.</w:t>
      </w:r>
    </w:p>
    <w:p>
      <w:pPr>
        <w:spacing w:before="120" w:after="120"/>
        <w:jc w:val="center"/>
      </w:pPr>
      <w:r>
        <w:rPr>
          <w:rFonts w:hint="eastAsia"/>
        </w:rPr>
        <w:t>Table 5 Payload of PMI reporting</w:t>
      </w:r>
    </w:p>
    <w:tbl>
      <w:tblPr>
        <w:tblStyle w:val="19"/>
        <w:tblW w:w="98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9"/>
        <w:gridCol w:w="2469"/>
        <w:gridCol w:w="2469"/>
        <w:gridCol w:w="2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9" w:type="dxa"/>
            <w:tcBorders>
              <w:top w:val="single" w:color="auto" w:sz="4" w:space="0"/>
              <w:left w:val="single" w:color="auto" w:sz="4" w:space="0"/>
              <w:bottom w:val="single" w:color="auto" w:sz="4" w:space="0"/>
              <w:right w:val="single" w:color="auto" w:sz="4" w:space="0"/>
            </w:tcBorders>
            <w:vAlign w:val="center"/>
          </w:tcPr>
          <w:p>
            <w:pPr>
              <w:spacing w:before="120" w:after="120"/>
              <w:jc w:val="center"/>
            </w:pPr>
            <w:r>
              <w:rPr>
                <w:rFonts w:hint="eastAsia"/>
              </w:rPr>
              <w:t>Scheme</w:t>
            </w:r>
          </w:p>
        </w:tc>
        <w:tc>
          <w:tcPr>
            <w:tcW w:w="2469" w:type="dxa"/>
            <w:tcBorders>
              <w:top w:val="single" w:color="auto" w:sz="4" w:space="0"/>
              <w:left w:val="nil"/>
              <w:bottom w:val="single" w:color="auto" w:sz="4" w:space="0"/>
              <w:right w:val="single" w:color="auto" w:sz="4" w:space="0"/>
            </w:tcBorders>
            <w:vAlign w:val="center"/>
          </w:tcPr>
          <w:p>
            <w:pPr>
              <w:spacing w:before="120" w:after="120"/>
              <w:jc w:val="center"/>
            </w:pPr>
            <w:r>
              <w:rPr>
                <w:rFonts w:hint="eastAsia"/>
              </w:rPr>
              <w:t>Payload of wideband PMI reporting</w:t>
            </w:r>
          </w:p>
        </w:tc>
        <w:tc>
          <w:tcPr>
            <w:tcW w:w="2469" w:type="dxa"/>
            <w:tcBorders>
              <w:top w:val="single" w:color="auto" w:sz="4" w:space="0"/>
              <w:left w:val="nil"/>
              <w:bottom w:val="single" w:color="auto" w:sz="4" w:space="0"/>
              <w:right w:val="single" w:color="auto" w:sz="4" w:space="0"/>
            </w:tcBorders>
            <w:vAlign w:val="center"/>
          </w:tcPr>
          <w:p>
            <w:pPr>
              <w:spacing w:before="120" w:after="120"/>
              <w:jc w:val="center"/>
            </w:pPr>
            <w:r>
              <w:rPr>
                <w:rFonts w:hint="eastAsia"/>
              </w:rPr>
              <w:t>Payload of subband PMI reporting</w:t>
            </w:r>
          </w:p>
        </w:tc>
        <w:tc>
          <w:tcPr>
            <w:tcW w:w="2469" w:type="dxa"/>
            <w:tcBorders>
              <w:top w:val="single" w:color="auto" w:sz="4" w:space="0"/>
              <w:left w:val="nil"/>
              <w:bottom w:val="single" w:color="auto" w:sz="4" w:space="0"/>
              <w:right w:val="single" w:color="auto" w:sz="4" w:space="0"/>
            </w:tcBorders>
            <w:vAlign w:val="center"/>
          </w:tcPr>
          <w:p>
            <w:pPr>
              <w:spacing w:before="120" w:after="120"/>
              <w:jc w:val="center"/>
            </w:pPr>
            <w:r>
              <w:rPr>
                <w:rFonts w:hint="eastAsia"/>
              </w:rPr>
              <w:t>Total paylo</w:t>
            </w:r>
            <w:r>
              <w:t>a</w:t>
            </w:r>
            <w:r>
              <w:rPr>
                <w:rFonts w:hint="eastAsia"/>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9" w:type="dxa"/>
            <w:tcBorders>
              <w:top w:val="single" w:color="auto" w:sz="4" w:space="0"/>
              <w:left w:val="single" w:color="auto" w:sz="4" w:space="0"/>
              <w:bottom w:val="single" w:color="auto" w:sz="4" w:space="0"/>
              <w:right w:val="single" w:color="auto" w:sz="4" w:space="0"/>
            </w:tcBorders>
            <w:vAlign w:val="center"/>
          </w:tcPr>
          <w:p>
            <w:pPr>
              <w:spacing w:before="120" w:after="120"/>
              <w:jc w:val="center"/>
            </w:pPr>
            <w:r>
              <w:rPr>
                <w:rFonts w:hint="eastAsia"/>
              </w:rPr>
              <w:t>Report one PMI</w:t>
            </w:r>
          </w:p>
        </w:tc>
        <w:tc>
          <w:tcPr>
            <w:tcW w:w="2469" w:type="dxa"/>
            <w:tcBorders>
              <w:top w:val="single" w:color="auto" w:sz="4" w:space="0"/>
              <w:left w:val="nil"/>
              <w:bottom w:val="single" w:color="auto" w:sz="4" w:space="0"/>
              <w:right w:val="single" w:color="auto" w:sz="4" w:space="0"/>
            </w:tcBorders>
            <w:vAlign w:val="center"/>
          </w:tcPr>
          <w:p>
            <w:pPr>
              <w:spacing w:before="120" w:after="120"/>
              <w:jc w:val="center"/>
            </w:pPr>
            <w:r>
              <w:rPr>
                <w:rFonts w:hint="eastAsia"/>
              </w:rPr>
              <w:t>10(bits)</w:t>
            </w:r>
          </w:p>
        </w:tc>
        <w:tc>
          <w:tcPr>
            <w:tcW w:w="2469" w:type="dxa"/>
            <w:tcBorders>
              <w:top w:val="single" w:color="auto" w:sz="4" w:space="0"/>
              <w:left w:val="nil"/>
              <w:bottom w:val="single" w:color="auto" w:sz="4" w:space="0"/>
              <w:right w:val="single" w:color="auto" w:sz="4" w:space="0"/>
            </w:tcBorders>
            <w:vAlign w:val="center"/>
          </w:tcPr>
          <w:p>
            <w:pPr>
              <w:spacing w:before="120" w:after="120"/>
              <w:jc w:val="center"/>
            </w:pPr>
            <w:r>
              <w:rPr>
                <w:rFonts w:hint="eastAsia"/>
              </w:rPr>
              <w:t>18(bits)</w:t>
            </w:r>
          </w:p>
        </w:tc>
        <w:tc>
          <w:tcPr>
            <w:tcW w:w="2469" w:type="dxa"/>
            <w:tcBorders>
              <w:top w:val="single" w:color="auto" w:sz="4" w:space="0"/>
              <w:left w:val="nil"/>
              <w:bottom w:val="single" w:color="auto" w:sz="4" w:space="0"/>
              <w:right w:val="single" w:color="auto" w:sz="4" w:space="0"/>
            </w:tcBorders>
            <w:vAlign w:val="center"/>
          </w:tcPr>
          <w:p>
            <w:pPr>
              <w:spacing w:before="120" w:after="120"/>
              <w:jc w:val="center"/>
            </w:pPr>
            <w:r>
              <w:rPr>
                <w:rFonts w:hint="eastAsia"/>
              </w:rPr>
              <w:t>28(bits)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9" w:type="dxa"/>
            <w:tcBorders>
              <w:top w:val="single" w:color="auto" w:sz="4" w:space="0"/>
              <w:left w:val="single" w:color="auto" w:sz="4" w:space="0"/>
              <w:bottom w:val="single" w:color="auto" w:sz="4" w:space="0"/>
              <w:right w:val="single" w:color="auto" w:sz="4" w:space="0"/>
            </w:tcBorders>
            <w:vAlign w:val="center"/>
          </w:tcPr>
          <w:p>
            <w:pPr>
              <w:spacing w:before="120" w:after="120"/>
              <w:jc w:val="center"/>
            </w:pPr>
            <w:r>
              <w:rPr>
                <w:rFonts w:hint="eastAsia"/>
              </w:rPr>
              <w:t>Report multi-PMI</w:t>
            </w:r>
          </w:p>
        </w:tc>
        <w:tc>
          <w:tcPr>
            <w:tcW w:w="2469" w:type="dxa"/>
            <w:tcBorders>
              <w:top w:val="single" w:color="auto" w:sz="4" w:space="0"/>
              <w:left w:val="nil"/>
              <w:bottom w:val="single" w:color="auto" w:sz="4" w:space="0"/>
              <w:right w:val="single" w:color="auto" w:sz="4" w:space="0"/>
            </w:tcBorders>
            <w:vAlign w:val="center"/>
          </w:tcPr>
          <w:p>
            <w:pPr>
              <w:spacing w:before="120" w:after="120"/>
              <w:jc w:val="center"/>
            </w:pPr>
            <w:r>
              <w:rPr>
                <w:rFonts w:hint="eastAsia"/>
              </w:rPr>
              <w:t>10+10+8=28(bits)</w:t>
            </w:r>
          </w:p>
        </w:tc>
        <w:tc>
          <w:tcPr>
            <w:tcW w:w="2469" w:type="dxa"/>
            <w:tcBorders>
              <w:top w:val="single" w:color="auto" w:sz="4" w:space="0"/>
              <w:left w:val="nil"/>
              <w:bottom w:val="single" w:color="auto" w:sz="4" w:space="0"/>
              <w:right w:val="single" w:color="auto" w:sz="4" w:space="0"/>
            </w:tcBorders>
            <w:vAlign w:val="center"/>
          </w:tcPr>
          <w:p>
            <w:pPr>
              <w:spacing w:before="120" w:after="120"/>
              <w:jc w:val="center"/>
            </w:pPr>
            <w:r>
              <w:rPr>
                <w:rFonts w:hint="eastAsia"/>
              </w:rPr>
              <w:t>18*3=54(bits)</w:t>
            </w:r>
          </w:p>
        </w:tc>
        <w:tc>
          <w:tcPr>
            <w:tcW w:w="2469" w:type="dxa"/>
            <w:tcBorders>
              <w:top w:val="single" w:color="auto" w:sz="4" w:space="0"/>
              <w:left w:val="nil"/>
              <w:bottom w:val="single" w:color="auto" w:sz="4" w:space="0"/>
              <w:right w:val="single" w:color="auto" w:sz="4" w:space="0"/>
            </w:tcBorders>
            <w:vAlign w:val="center"/>
          </w:tcPr>
          <w:p>
            <w:pPr>
              <w:spacing w:before="120" w:after="120"/>
              <w:jc w:val="center"/>
            </w:pPr>
            <w:r>
              <w:rPr>
                <w:rFonts w:hint="eastAsia"/>
              </w:rPr>
              <w:t>82(bits)</w:t>
            </w:r>
          </w:p>
        </w:tc>
      </w:tr>
    </w:tbl>
    <w:p>
      <w:pPr>
        <w:spacing w:before="120" w:after="120"/>
      </w:pPr>
    </w:p>
    <w:p>
      <w:pPr>
        <w:pStyle w:val="30"/>
        <w:spacing w:before="120" w:after="120"/>
      </w:pPr>
      <w:bookmarkStart w:id="91" w:name="_Toc6458"/>
      <w:bookmarkStart w:id="92" w:name="_Toc4832"/>
      <w:bookmarkStart w:id="93" w:name="_Toc23640"/>
      <w:r>
        <w:t>The performance of single PMI reporting and multiple PMI reporting</w:t>
      </w:r>
      <w:r>
        <w:rPr>
          <w:rFonts w:hint="eastAsia"/>
        </w:rPr>
        <w:t xml:space="preserve"> </w:t>
      </w:r>
      <w:r>
        <w:t>is similar in both LLS and SLS.</w:t>
      </w:r>
      <w:bookmarkEnd w:id="91"/>
      <w:bookmarkEnd w:id="92"/>
      <w:bookmarkEnd w:id="93"/>
    </w:p>
    <w:p>
      <w:pPr>
        <w:pStyle w:val="30"/>
        <w:spacing w:before="120" w:after="120"/>
      </w:pPr>
      <w:bookmarkStart w:id="94" w:name="_Toc20850"/>
      <w:bookmarkStart w:id="95" w:name="_Toc19181"/>
      <w:bookmarkStart w:id="96" w:name="_Toc30596"/>
      <w:r>
        <w:rPr>
          <w:rFonts w:hint="eastAsia"/>
          <w:lang w:val="en-US" w:eastAsia="zh-CN"/>
        </w:rPr>
        <w:t xml:space="preserve">When </w:t>
      </w:r>
      <w:r>
        <w:t>dynamic gNB antenna adaptation among</w:t>
      </w:r>
      <w:r>
        <w:rPr>
          <w:rFonts w:hint="eastAsia"/>
        </w:rPr>
        <w:t xml:space="preserve"> {32ports, 24ports, 16ports}</w:t>
      </w:r>
      <w:r>
        <w:rPr>
          <w:rFonts w:hint="eastAsia"/>
          <w:lang w:val="en-US" w:eastAsia="zh-CN"/>
        </w:rPr>
        <w:t xml:space="preserve">, the payload of PMI reporting </w:t>
      </w:r>
      <w:r>
        <w:rPr>
          <w:lang w:val="en-US" w:eastAsia="zh-CN"/>
        </w:rPr>
        <w:t xml:space="preserve">can by </w:t>
      </w:r>
      <w:r>
        <w:rPr>
          <w:rFonts w:hint="eastAsia"/>
          <w:lang w:val="en-US" w:eastAsia="zh-CN"/>
        </w:rPr>
        <w:t xml:space="preserve">reduced </w:t>
      </w:r>
      <w:r>
        <w:rPr>
          <w:lang w:val="en-US" w:eastAsia="zh-CN"/>
        </w:rPr>
        <w:t>by 65% (</w:t>
      </w:r>
      <w:r>
        <w:rPr>
          <w:rFonts w:hint="eastAsia"/>
          <w:lang w:val="en-US" w:eastAsia="zh-CN"/>
        </w:rPr>
        <w:t>i</w:t>
      </w:r>
      <w:r>
        <w:rPr>
          <w:lang w:val="en-US" w:eastAsia="zh-CN"/>
        </w:rPr>
        <w:t xml:space="preserve">.e., </w:t>
      </w:r>
      <w:r>
        <w:rPr>
          <w:rFonts w:hint="eastAsia"/>
          <w:lang w:val="en-US" w:eastAsia="zh-CN"/>
        </w:rPr>
        <w:t xml:space="preserve">from </w:t>
      </w:r>
      <w:r>
        <w:rPr>
          <w:lang w:val="en-US" w:eastAsia="zh-CN"/>
        </w:rPr>
        <w:t>82</w:t>
      </w:r>
      <w:r>
        <w:rPr>
          <w:rFonts w:hint="eastAsia"/>
          <w:lang w:val="en-US" w:eastAsia="zh-CN"/>
        </w:rPr>
        <w:t xml:space="preserve">bits to </w:t>
      </w:r>
      <w:r>
        <w:rPr>
          <w:lang w:val="en-US" w:eastAsia="zh-CN"/>
        </w:rPr>
        <w:t>28</w:t>
      </w:r>
      <w:r>
        <w:rPr>
          <w:rFonts w:hint="eastAsia"/>
          <w:lang w:val="en-US" w:eastAsia="zh-CN"/>
        </w:rPr>
        <w:t>bits</w:t>
      </w:r>
      <w:r>
        <w:rPr>
          <w:lang w:val="en-US" w:eastAsia="zh-CN"/>
        </w:rPr>
        <w:t>)</w:t>
      </w:r>
      <w:r>
        <w:rPr>
          <w:rFonts w:hint="eastAsia"/>
          <w:lang w:val="en-US" w:eastAsia="zh-CN"/>
        </w:rPr>
        <w:t xml:space="preserve"> using </w:t>
      </w:r>
      <w:r>
        <w:t>single PMI reporting</w:t>
      </w:r>
      <w:r>
        <w:rPr>
          <w:rFonts w:hint="eastAsia"/>
          <w:lang w:val="en-US" w:eastAsia="zh-CN"/>
        </w:rPr>
        <w:t>.</w:t>
      </w:r>
      <w:bookmarkEnd w:id="94"/>
      <w:bookmarkEnd w:id="95"/>
      <w:bookmarkEnd w:id="96"/>
    </w:p>
    <w:p>
      <w:pPr>
        <w:pStyle w:val="31"/>
        <w:spacing w:before="120" w:after="120"/>
      </w:pPr>
      <w:bookmarkStart w:id="97" w:name="_Toc12144"/>
      <w:bookmarkStart w:id="98" w:name="_Toc120"/>
      <w:bookmarkStart w:id="99" w:name="_Toc29757"/>
      <w:bookmarkStart w:id="100" w:name="_Toc21065"/>
      <w:bookmarkStart w:id="101" w:name="_Toc12662"/>
      <w:bookmarkStart w:id="102" w:name="_Toc131790362"/>
      <w:bookmarkStart w:id="103" w:name="_Toc4249"/>
      <w:bookmarkStart w:id="104" w:name="_Toc32734"/>
      <w:r>
        <w:t>Reporting only one PMI with the largest number of ports for multiple CSIs report should be considered to reduce the UCI overhead.</w:t>
      </w:r>
      <w:bookmarkEnd w:id="97"/>
      <w:bookmarkEnd w:id="98"/>
      <w:bookmarkEnd w:id="99"/>
      <w:bookmarkEnd w:id="100"/>
      <w:bookmarkEnd w:id="101"/>
      <w:bookmarkEnd w:id="102"/>
      <w:bookmarkEnd w:id="103"/>
      <w:bookmarkEnd w:id="104"/>
      <w:bookmarkStart w:id="105" w:name="_Toc28876"/>
      <w:bookmarkEnd w:id="105"/>
      <w:bookmarkStart w:id="106" w:name="_Toc7121"/>
      <w:bookmarkEnd w:id="106"/>
      <w:bookmarkStart w:id="107" w:name="_Toc2928"/>
      <w:bookmarkEnd w:id="107"/>
      <w:bookmarkStart w:id="108" w:name="_Toc27254"/>
      <w:bookmarkEnd w:id="108"/>
      <w:bookmarkStart w:id="109" w:name="_Toc31265"/>
      <w:bookmarkEnd w:id="109"/>
    </w:p>
    <w:p>
      <w:pPr>
        <w:pStyle w:val="4"/>
        <w:numPr>
          <w:ilvl w:val="2"/>
          <w:numId w:val="9"/>
        </w:numPr>
        <w:spacing w:after="120"/>
        <w:ind w:right="210"/>
        <w:rPr>
          <w:rFonts w:ascii="Times New Roman" w:hAnsi="Times New Roman"/>
          <w:b/>
          <w:bCs/>
          <w:sz w:val="21"/>
          <w:szCs w:val="21"/>
        </w:rPr>
      </w:pPr>
      <w:r>
        <w:rPr>
          <w:rFonts w:hint="eastAsia" w:ascii="Times New Roman" w:hAnsi="Times New Roman"/>
          <w:b/>
          <w:bCs/>
          <w:sz w:val="21"/>
          <w:szCs w:val="21"/>
        </w:rPr>
        <w:t>Determin</w:t>
      </w:r>
      <w:r>
        <w:rPr>
          <w:rFonts w:ascii="Times New Roman" w:hAnsi="Times New Roman"/>
          <w:b/>
          <w:bCs/>
          <w:sz w:val="21"/>
          <w:szCs w:val="21"/>
        </w:rPr>
        <w:t>ation of</w:t>
      </w:r>
      <w:r>
        <w:rPr>
          <w:rFonts w:hint="eastAsia" w:ascii="Times New Roman" w:hAnsi="Times New Roman"/>
          <w:b/>
          <w:bCs/>
          <w:sz w:val="21"/>
          <w:szCs w:val="21"/>
        </w:rPr>
        <w:t xml:space="preserve"> a precoding matrix with smaller port</w:t>
      </w:r>
      <w:r>
        <w:rPr>
          <w:rFonts w:ascii="Times New Roman" w:hAnsi="Times New Roman"/>
          <w:b/>
          <w:bCs/>
          <w:sz w:val="21"/>
          <w:szCs w:val="21"/>
        </w:rPr>
        <w:t xml:space="preserve"> number</w:t>
      </w:r>
      <w:r>
        <w:rPr>
          <w:rFonts w:hint="eastAsia" w:ascii="Times New Roman" w:hAnsi="Times New Roman"/>
          <w:b/>
          <w:bCs/>
          <w:sz w:val="21"/>
          <w:szCs w:val="21"/>
        </w:rPr>
        <w:t xml:space="preserve">s </w:t>
      </w:r>
      <w:r>
        <w:rPr>
          <w:rFonts w:ascii="Times New Roman" w:hAnsi="Times New Roman"/>
          <w:b/>
          <w:bCs/>
          <w:sz w:val="21"/>
          <w:szCs w:val="21"/>
        </w:rPr>
        <w:t>with single PMI reporting</w:t>
      </w:r>
    </w:p>
    <w:p>
      <w:pPr>
        <w:spacing w:before="120" w:after="120"/>
      </w:pPr>
      <w:r>
        <w:rPr>
          <w:rFonts w:hint="eastAsia"/>
        </w:rPr>
        <w:t>When only one PMI</w:t>
      </w:r>
      <w:r>
        <w:t xml:space="preserve"> is reported</w:t>
      </w:r>
      <w:r>
        <w:rPr>
          <w:rFonts w:hint="eastAsia"/>
        </w:rPr>
        <w:t xml:space="preserve">, it should be clarified how to use a precoding matrix </w:t>
      </w:r>
      <w:r>
        <w:t>of</w:t>
      </w:r>
      <w:r>
        <w:rPr>
          <w:rFonts w:hint="eastAsia"/>
        </w:rPr>
        <w:t xml:space="preserve"> a larger port numbers to </w:t>
      </w:r>
      <w:r>
        <w:t>derive</w:t>
      </w:r>
      <w:r>
        <w:rPr>
          <w:rFonts w:hint="eastAsia"/>
        </w:rPr>
        <w:t xml:space="preserve"> a precoding matrix </w:t>
      </w:r>
      <w:r>
        <w:t>of</w:t>
      </w:r>
      <w:r>
        <w:rPr>
          <w:rFonts w:hint="eastAsia"/>
        </w:rPr>
        <w:t xml:space="preserve"> a smaller port</w:t>
      </w:r>
      <w:r>
        <w:t xml:space="preserve"> </w:t>
      </w:r>
      <w:r>
        <w:rPr>
          <w:rFonts w:hint="eastAsia"/>
        </w:rPr>
        <w:t xml:space="preserve">numbers. </w:t>
      </w:r>
    </w:p>
    <w:p>
      <w:pPr>
        <w:spacing w:before="120" w:after="120"/>
      </w:pPr>
      <w:r>
        <w:t xml:space="preserve">The rows of the </w:t>
      </w:r>
      <w:r>
        <w:rPr>
          <w:rFonts w:hint="eastAsia"/>
        </w:rPr>
        <w:t>precoding matrix o</w:t>
      </w:r>
      <w:r>
        <w:t xml:space="preserve">f </w:t>
      </w:r>
      <w:r>
        <w:rPr>
          <w:rFonts w:hint="eastAsia"/>
        </w:rPr>
        <w:t>a smaller port</w:t>
      </w:r>
      <w:r>
        <w:t xml:space="preserve"> </w:t>
      </w:r>
      <w:r>
        <w:rPr>
          <w:rFonts w:hint="eastAsia"/>
        </w:rPr>
        <w:t xml:space="preserve">numbers </w:t>
      </w:r>
      <w:r>
        <w:t>depends on the subsets of ports (or spatial adaptation patterns) selected by gNB.</w:t>
      </w:r>
      <w:r>
        <w:rPr>
          <w:rFonts w:hint="eastAsia"/>
        </w:rPr>
        <w:t xml:space="preserve"> The row</w:t>
      </w:r>
      <w:r>
        <w:t>s are selected</w:t>
      </w:r>
      <w:r>
        <w:rPr>
          <w:rFonts w:hint="eastAsia"/>
        </w:rPr>
        <w:t xml:space="preserve"> according to the port/spatial adaptation pattern indication by gNB.</w:t>
      </w:r>
    </w:p>
    <w:p>
      <w:pPr>
        <w:spacing w:before="120" w:after="120"/>
      </w:pPr>
      <w:r>
        <w:rPr>
          <w:rFonts w:hint="eastAsia"/>
        </w:rPr>
        <w:t xml:space="preserve">For example, gNB indicates port </w:t>
      </w:r>
      <w:r>
        <w:t>information</w:t>
      </w:r>
      <w:r>
        <w:rPr>
          <w:rFonts w:hint="eastAsia"/>
        </w:rPr>
        <w:t xml:space="preserve"> for </w:t>
      </w:r>
      <w:r>
        <w:t>different antenna adaptation</w:t>
      </w:r>
      <w:r>
        <w:rPr>
          <w:rFonts w:hint="eastAsia"/>
        </w:rPr>
        <w:t xml:space="preserve">, </w:t>
      </w:r>
      <w:r>
        <w:t>UE measures the CSI for the la</w:t>
      </w:r>
      <w:r>
        <w:rPr>
          <w:rFonts w:hint="eastAsia"/>
        </w:rPr>
        <w:t>rg</w:t>
      </w:r>
      <w:r>
        <w:t>est CSI-</w:t>
      </w:r>
      <w:r>
        <w:rPr>
          <w:rFonts w:hint="eastAsia"/>
        </w:rPr>
        <w:t>RS</w:t>
      </w:r>
      <w:r>
        <w:t xml:space="preserve"> port number, while each row of the </w:t>
      </w:r>
      <w:r>
        <w:rPr>
          <w:rFonts w:hint="eastAsia"/>
        </w:rPr>
        <w:t>precoding matrix with smaller of port numbers</w:t>
      </w:r>
      <w:r>
        <w:t xml:space="preserve"> are extracted from the indicated row (i.e., port information) of the PMI corresponding to the la</w:t>
      </w:r>
      <w:r>
        <w:rPr>
          <w:rFonts w:hint="eastAsia"/>
        </w:rPr>
        <w:t>rg</w:t>
      </w:r>
      <w:r>
        <w:t>est CSI-</w:t>
      </w:r>
      <w:r>
        <w:rPr>
          <w:rFonts w:hint="eastAsia"/>
        </w:rPr>
        <w:t>RS</w:t>
      </w:r>
      <w:r>
        <w:t xml:space="preserve"> port number.</w:t>
      </w:r>
    </w:p>
    <w:p>
      <w:pPr>
        <w:spacing w:before="120" w:after="120"/>
      </w:pPr>
      <w:r>
        <w:rPr>
          <w:rFonts w:hint="eastAsia"/>
        </w:rPr>
        <w:t>A bitmap can be used to indicate which ports are used for CSI calculation. For example, 32 bits are used</w:t>
      </w:r>
      <w:r>
        <w:t xml:space="preserve"> for </w:t>
      </w:r>
      <w:r>
        <w:rPr>
          <w:rFonts w:hint="eastAsia"/>
        </w:rPr>
        <w:t>a</w:t>
      </w:r>
      <w:r>
        <w:t xml:space="preserve"> maximum number of </w:t>
      </w:r>
      <w:r>
        <w:rPr>
          <w:rFonts w:hint="eastAsia"/>
        </w:rPr>
        <w:t>32</w:t>
      </w:r>
      <w:r>
        <w:t xml:space="preserve"> CSI-RS ports</w:t>
      </w:r>
      <w:r>
        <w:rPr>
          <w:rFonts w:hint="eastAsia"/>
        </w:rPr>
        <w:t>, and each bit corresponds to one port. However, the overhead of the signaling should be considered if the bitmap is transmitted via DCI</w:t>
      </w:r>
      <w:r>
        <w:t>,</w:t>
      </w:r>
      <w:r>
        <w:rPr>
          <w:rFonts w:hint="eastAsia"/>
        </w:rPr>
        <w:t xml:space="preserve"> </w:t>
      </w:r>
      <w:r>
        <w:t>e</w:t>
      </w:r>
      <w:r>
        <w:rPr>
          <w:rFonts w:hint="eastAsia"/>
        </w:rPr>
        <w:t xml:space="preserve">specially if gNB needs to indicate for more than one number of ports. One way to reduce the overhead is that gNB configures multiple bitmap candidates by RRC signaling, and uses L1 signaling to select one or more from the multiple candidates. </w:t>
      </w:r>
    </w:p>
    <w:p>
      <w:pPr>
        <w:pStyle w:val="30"/>
        <w:spacing w:before="120" w:after="120"/>
        <w:rPr>
          <w:lang w:val="en-US" w:eastAsia="zh-CN"/>
        </w:rPr>
      </w:pPr>
      <w:bookmarkStart w:id="110" w:name="_Toc383"/>
      <w:bookmarkStart w:id="111" w:name="_Toc5558"/>
      <w:bookmarkStart w:id="112" w:name="_Toc24301"/>
      <w:r>
        <w:rPr>
          <w:rFonts w:hint="eastAsia"/>
          <w:lang w:val="en-US" w:eastAsia="zh-CN"/>
        </w:rPr>
        <w:t>If gNB transmits a signaling to indicate which ports are used for CSI calculation, the overhead of the signaling should be considered.</w:t>
      </w:r>
      <w:bookmarkEnd w:id="110"/>
      <w:bookmarkEnd w:id="111"/>
      <w:bookmarkEnd w:id="112"/>
    </w:p>
    <w:p>
      <w:pPr>
        <w:pStyle w:val="31"/>
        <w:spacing w:before="120" w:after="120"/>
        <w:rPr>
          <w:lang w:val="en-US" w:eastAsia="zh-CN"/>
        </w:rPr>
      </w:pPr>
      <w:bookmarkStart w:id="113" w:name="_Toc14404"/>
      <w:bookmarkStart w:id="114" w:name="_Toc13879"/>
      <w:bookmarkStart w:id="115" w:name="_Toc18952"/>
      <w:bookmarkStart w:id="116" w:name="_Toc31273"/>
      <w:bookmarkStart w:id="117" w:name="_Toc30823"/>
      <w:bookmarkStart w:id="118" w:name="_Toc4217"/>
      <w:bookmarkStart w:id="119" w:name="_Toc131790363"/>
      <w:bookmarkStart w:id="120" w:name="_Toc31834"/>
      <w:r>
        <w:rPr>
          <w:rFonts w:hint="eastAsia"/>
          <w:lang w:val="en-US" w:eastAsia="zh-CN"/>
        </w:rPr>
        <w:t xml:space="preserve">gNB </w:t>
      </w:r>
      <w:r>
        <w:rPr>
          <w:lang w:val="en-US" w:eastAsia="zh-CN"/>
        </w:rPr>
        <w:t xml:space="preserve">can </w:t>
      </w:r>
      <w:r>
        <w:rPr>
          <w:rFonts w:hint="eastAsia"/>
          <w:lang w:val="en-US" w:eastAsia="zh-CN"/>
        </w:rPr>
        <w:t>configure multiple bitmap candidates by RRC signaling, and use L1 signaling to select one or more from the multiple candidates.</w:t>
      </w:r>
      <w:bookmarkEnd w:id="113"/>
      <w:bookmarkEnd w:id="114"/>
      <w:bookmarkEnd w:id="115"/>
      <w:bookmarkEnd w:id="116"/>
      <w:bookmarkEnd w:id="117"/>
      <w:bookmarkEnd w:id="118"/>
      <w:bookmarkEnd w:id="119"/>
      <w:bookmarkEnd w:id="120"/>
    </w:p>
    <w:p>
      <w:pPr>
        <w:spacing w:before="120" w:after="120"/>
      </w:pPr>
      <w:r>
        <w:rPr>
          <w:rFonts w:hint="eastAsia"/>
        </w:rPr>
        <w:t xml:space="preserve">One thing should be noted is that the two ports which are in same position </w:t>
      </w:r>
      <w:r>
        <w:t>but</w:t>
      </w:r>
      <w:r>
        <w:rPr>
          <w:rFonts w:hint="eastAsia"/>
        </w:rPr>
        <w:t xml:space="preserve"> different polarization directions should be selected </w:t>
      </w:r>
      <w:r>
        <w:t>simultaneously</w:t>
      </w:r>
      <w:r>
        <w:rPr>
          <w:rFonts w:hint="eastAsia"/>
        </w:rPr>
        <w:t xml:space="preserve">. </w:t>
      </w:r>
      <w:r>
        <w:t xml:space="preserve">Otherwise, </w:t>
      </w:r>
      <w:r>
        <w:rPr>
          <w:rFonts w:hint="eastAsia"/>
        </w:rPr>
        <w:t xml:space="preserve">the system performance will be severely affected. To ensure that the two ports with different polarization directions are selected </w:t>
      </w:r>
      <w:r>
        <w:t>at the same time</w:t>
      </w:r>
      <w:r>
        <w:rPr>
          <w:rFonts w:hint="eastAsia"/>
        </w:rPr>
        <w:t xml:space="preserve">, </w:t>
      </w:r>
      <w:r>
        <w:t>each bit in the</w:t>
      </w:r>
      <w:r>
        <w:rPr>
          <w:rFonts w:hint="eastAsia"/>
        </w:rPr>
        <w:t xml:space="preserve"> bitmap </w:t>
      </w:r>
      <w:r>
        <w:t>can be used to</w:t>
      </w:r>
      <w:r>
        <w:rPr>
          <w:rFonts w:hint="eastAsia"/>
        </w:rPr>
        <w:t xml:space="preserve"> indicate </w:t>
      </w:r>
      <w:r>
        <w:t>dual</w:t>
      </w:r>
      <w:r>
        <w:rPr>
          <w:rFonts w:hint="eastAsia"/>
        </w:rPr>
        <w:t xml:space="preserve"> polarization </w:t>
      </w:r>
      <w:r>
        <w:t>directions</w:t>
      </w:r>
      <w:r>
        <w:rPr>
          <w:rFonts w:hint="eastAsia"/>
        </w:rPr>
        <w:t xml:space="preserve">. For example, </w:t>
      </w:r>
      <w:r>
        <w:t xml:space="preserve">if </w:t>
      </w:r>
      <w:r>
        <w:rPr>
          <w:rFonts w:hint="eastAsia"/>
        </w:rPr>
        <w:t xml:space="preserve">16 ports need to be selected via bitmap from 32 ports. A bitmap </w:t>
      </w:r>
      <w:r>
        <w:t>‘</w:t>
      </w:r>
      <w:r>
        <w:rPr>
          <w:rFonts w:hint="eastAsia"/>
        </w:rPr>
        <w:t>1111 0000 0000 0000</w:t>
      </w:r>
      <w:r>
        <w:t>’</w:t>
      </w:r>
      <w:r>
        <w:rPr>
          <w:rFonts w:hint="eastAsia"/>
        </w:rPr>
        <w:t xml:space="preserve"> means ports with index</w:t>
      </w:r>
      <w:r>
        <w:t>es of</w:t>
      </w:r>
      <w:r>
        <w:rPr>
          <w:rFonts w:hint="eastAsia"/>
        </w:rPr>
        <w:t xml:space="preserve"> </w:t>
      </w:r>
      <w:r>
        <w:t>‘</w:t>
      </w:r>
      <w:r>
        <w:rPr>
          <w:rFonts w:hint="eastAsia"/>
        </w:rPr>
        <w:t>{0,16},</w:t>
      </w:r>
      <w:r>
        <w:t xml:space="preserve"> </w:t>
      </w:r>
      <w:r>
        <w:rPr>
          <w:rFonts w:hint="eastAsia"/>
        </w:rPr>
        <w:t>{1,17},</w:t>
      </w:r>
      <w:r>
        <w:t xml:space="preserve"> </w:t>
      </w:r>
      <w:r>
        <w:rPr>
          <w:rFonts w:hint="eastAsia"/>
        </w:rPr>
        <w:t>{2,18},</w:t>
      </w:r>
      <w:r>
        <w:t xml:space="preserve"> </w:t>
      </w:r>
      <w:r>
        <w:rPr>
          <w:rFonts w:hint="eastAsia"/>
        </w:rPr>
        <w:t>{3,19}</w:t>
      </w:r>
      <w:r>
        <w:t>’</w:t>
      </w:r>
      <w:r>
        <w:rPr>
          <w:rFonts w:hint="eastAsia"/>
        </w:rPr>
        <w:t xml:space="preserve"> are selected. Using this method, the overhead of the bitmap configuration can </w:t>
      </w:r>
      <w:r>
        <w:t>be further</w:t>
      </w:r>
      <w:r>
        <w:rPr>
          <w:rFonts w:hint="eastAsia"/>
        </w:rPr>
        <w:t xml:space="preserve"> reduce</w:t>
      </w:r>
      <w:r>
        <w:t>d</w:t>
      </w:r>
      <w:r>
        <w:rPr>
          <w:rFonts w:hint="eastAsia"/>
        </w:rPr>
        <w:t>.</w:t>
      </w:r>
    </w:p>
    <w:p>
      <w:pPr>
        <w:pStyle w:val="31"/>
        <w:spacing w:before="120" w:after="120"/>
        <w:rPr>
          <w:lang w:val="en-US" w:eastAsia="zh-CN"/>
        </w:rPr>
      </w:pPr>
      <w:bookmarkStart w:id="121" w:name="_Toc29813"/>
      <w:bookmarkStart w:id="122" w:name="_Toc32544"/>
      <w:bookmarkStart w:id="123" w:name="_Toc7189"/>
      <w:bookmarkStart w:id="124" w:name="_Toc131790364"/>
      <w:bookmarkStart w:id="125" w:name="_Toc26712"/>
      <w:bookmarkStart w:id="126" w:name="_Toc20699"/>
      <w:bookmarkStart w:id="127" w:name="_Toc30586"/>
      <w:bookmarkStart w:id="128" w:name="_Toc10093"/>
      <w:r>
        <w:rPr>
          <w:lang w:val="en-US" w:eastAsia="zh-CN"/>
        </w:rPr>
        <w:t>To reduce signaling overhead and guarantee performance, e</w:t>
      </w:r>
      <w:r>
        <w:rPr>
          <w:rFonts w:hint="eastAsia"/>
          <w:lang w:val="en-US" w:eastAsia="zh-CN"/>
        </w:rPr>
        <w:t xml:space="preserve">ach bit in a bitmap corresponds to two ports with different polarization directions </w:t>
      </w:r>
      <w:r>
        <w:rPr>
          <w:lang w:val="en-US" w:eastAsia="zh-CN"/>
        </w:rPr>
        <w:t>but</w:t>
      </w:r>
      <w:r>
        <w:rPr>
          <w:rFonts w:hint="eastAsia"/>
          <w:lang w:val="en-US" w:eastAsia="zh-CN"/>
        </w:rPr>
        <w:t xml:space="preserve"> in same position.</w:t>
      </w:r>
      <w:bookmarkEnd w:id="121"/>
      <w:bookmarkEnd w:id="122"/>
      <w:bookmarkEnd w:id="123"/>
      <w:bookmarkEnd w:id="124"/>
      <w:bookmarkEnd w:id="125"/>
      <w:bookmarkEnd w:id="126"/>
      <w:bookmarkEnd w:id="127"/>
      <w:bookmarkEnd w:id="128"/>
    </w:p>
    <w:p>
      <w:pPr>
        <w:spacing w:before="120" w:after="120"/>
      </w:pPr>
      <w:r>
        <w:t xml:space="preserve">Another thing is </w:t>
      </w:r>
      <w:r>
        <w:rPr>
          <w:rFonts w:hint="eastAsia"/>
        </w:rPr>
        <w:t xml:space="preserve">that </w:t>
      </w:r>
      <w:r>
        <w:t>t</w:t>
      </w:r>
      <w:r>
        <w:rPr>
          <w:rFonts w:hint="eastAsia"/>
        </w:rPr>
        <w:t xml:space="preserve">he </w:t>
      </w:r>
      <w:r>
        <w:t xml:space="preserve">port selection </w:t>
      </w:r>
      <w:r>
        <w:rPr>
          <w:rFonts w:hint="eastAsia"/>
        </w:rPr>
        <w:t>(i.e., via bitmap) should not violate the legacy configuration</w:t>
      </w:r>
      <w:r>
        <w:t xml:space="preserve"> of</w:t>
      </w:r>
      <w:r>
        <w:rPr>
          <w:rFonts w:hint="eastAsia"/>
        </w:rPr>
        <w:t xml:space="preserve"> (N1,</w:t>
      </w:r>
      <w:r>
        <w:t xml:space="preserve"> </w:t>
      </w:r>
      <w:r>
        <w:rPr>
          <w:rFonts w:hint="eastAsia"/>
        </w:rPr>
        <w:t>N2).</w:t>
      </w:r>
    </w:p>
    <w:p>
      <w:pPr>
        <w:pStyle w:val="55"/>
        <w:spacing w:before="120" w:after="120"/>
        <w:rPr>
          <w:rFonts w:ascii="Times New Roman" w:hAnsi="Times New Roman"/>
          <w:color w:val="000000"/>
          <w:sz w:val="20"/>
          <w:szCs w:val="18"/>
          <w:lang w:val="en-US"/>
        </w:rPr>
      </w:pPr>
      <w:r>
        <w:rPr>
          <w:rFonts w:ascii="Times New Roman" w:hAnsi="Times New Roman"/>
          <w:color w:val="000000"/>
          <w:sz w:val="20"/>
          <w:szCs w:val="18"/>
          <w:lang w:val="en-US"/>
        </w:rPr>
        <w:t xml:space="preserve">Table </w:t>
      </w:r>
      <w:r>
        <w:rPr>
          <w:rFonts w:hint="eastAsia" w:ascii="Times New Roman" w:hAnsi="Times New Roman"/>
          <w:color w:val="000000"/>
          <w:sz w:val="20"/>
          <w:szCs w:val="18"/>
          <w:lang w:val="en-US"/>
        </w:rPr>
        <w:t>6</w:t>
      </w:r>
      <w:r>
        <w:rPr>
          <w:rFonts w:ascii="Times New Roman" w:hAnsi="Times New Roman"/>
          <w:color w:val="000000"/>
          <w:sz w:val="20"/>
          <w:szCs w:val="18"/>
          <w:lang w:val="en-US"/>
        </w:rPr>
        <w:t xml:space="preserve">: Supported configurations </w:t>
      </w:r>
      <w:r>
        <w:rPr>
          <w:rFonts w:ascii="Times New Roman" w:hAnsi="Times New Roman" w:eastAsia="Calibri"/>
          <w:color w:val="000000"/>
          <w:sz w:val="20"/>
          <w:szCs w:val="21"/>
          <w:lang w:val="en-US"/>
        </w:rPr>
        <w:t xml:space="preserve">of </w:t>
      </w:r>
      <w:r>
        <w:rPr>
          <w:rFonts w:ascii="Times New Roman" w:hAnsi="Times New Roman" w:eastAsia="Calibri"/>
          <w:b w:val="0"/>
          <w:color w:val="000000"/>
          <w:position w:val="-10"/>
          <w:sz w:val="20"/>
          <w:szCs w:val="21"/>
          <w:lang w:val="en-US"/>
        </w:rPr>
        <w:object>
          <v:shape id="_x0000_i1060" o:spt="75" type="#_x0000_t75" style="height:14.2pt;width:36.55pt;" o:ole="t" filled="f" o:preferrelative="t" stroked="f" coordsize="21600,21600">
            <v:path/>
            <v:fill on="f" focussize="0,0"/>
            <v:stroke on="f" joinstyle="miter"/>
            <v:imagedata r:id="rId77" o:title=""/>
            <o:lock v:ext="edit" aspectratio="t"/>
            <w10:wrap type="none"/>
            <w10:anchorlock/>
          </v:shape>
          <o:OLEObject Type="Embed" ProgID="Equation.3" ShapeID="_x0000_i1060" DrawAspect="Content" ObjectID="_1468075760" r:id="rId76">
            <o:LockedField>false</o:LockedField>
          </o:OLEObject>
        </w:object>
      </w:r>
      <w:r>
        <w:rPr>
          <w:rFonts w:ascii="Times New Roman" w:hAnsi="Times New Roman" w:eastAsia="Calibri"/>
          <w:color w:val="000000"/>
          <w:sz w:val="20"/>
          <w:szCs w:val="21"/>
          <w:lang w:val="en-US"/>
        </w:rPr>
        <w:t xml:space="preserve">and </w:t>
      </w:r>
      <w:r>
        <w:rPr>
          <w:rFonts w:ascii="Times New Roman" w:hAnsi="Times New Roman" w:eastAsia="Calibri"/>
          <w:b w:val="0"/>
          <w:color w:val="000000"/>
          <w:position w:val="-10"/>
          <w:sz w:val="20"/>
          <w:szCs w:val="21"/>
          <w:lang w:val="en-US"/>
        </w:rPr>
        <w:object>
          <v:shape id="_x0000_i1061" o:spt="75" type="#_x0000_t75" style="height:14.2pt;width:36.55pt;" o:ole="t" filled="f" o:preferrelative="t" stroked="f" coordsize="21600,21600">
            <v:path/>
            <v:fill on="f" focussize="0,0"/>
            <v:stroke on="f" joinstyle="miter"/>
            <v:imagedata r:id="rId79" o:title=""/>
            <o:lock v:ext="edit" aspectratio="t"/>
            <w10:wrap type="none"/>
            <w10:anchorlock/>
          </v:shape>
          <o:OLEObject Type="Embed" ProgID="Equation.3" ShapeID="_x0000_i1061" DrawAspect="Content" ObjectID="_1468075761" r:id="rId78">
            <o:LockedField>false</o:LockedField>
          </o:OLEObject>
        </w:object>
      </w:r>
    </w:p>
    <w:tbl>
      <w:tblPr>
        <w:tblStyle w:val="18"/>
        <w:tblW w:w="0" w:type="auto"/>
        <w:jc w:val="center"/>
        <w:tblLayout w:type="autofit"/>
        <w:tblCellMar>
          <w:top w:w="0" w:type="dxa"/>
          <w:left w:w="108" w:type="dxa"/>
          <w:bottom w:w="0" w:type="dxa"/>
          <w:right w:w="108" w:type="dxa"/>
        </w:tblCellMar>
      </w:tblPr>
      <w:tblGrid>
        <w:gridCol w:w="2619"/>
        <w:gridCol w:w="2140"/>
        <w:gridCol w:w="2140"/>
      </w:tblGrid>
      <w:tr>
        <w:tblPrEx>
          <w:tblCellMar>
            <w:top w:w="0" w:type="dxa"/>
            <w:left w:w="108" w:type="dxa"/>
            <w:bottom w:w="0" w:type="dxa"/>
            <w:right w:w="108" w:type="dxa"/>
          </w:tblCellMar>
        </w:tblPrEx>
        <w:trPr>
          <w:cantSplit/>
          <w:trHeight w:val="312" w:hRule="atLeast"/>
          <w:jc w:val="center"/>
        </w:trPr>
        <w:tc>
          <w:tcPr>
            <w:tcW w:w="1898" w:type="pct"/>
            <w:vMerge w:val="restart"/>
            <w:tcBorders>
              <w:top w:val="single" w:color="4F81BD" w:sz="8" w:space="0"/>
              <w:left w:val="single" w:color="4F81BD" w:sz="8" w:space="0"/>
              <w:bottom w:val="single" w:color="4F81BD" w:sz="8" w:space="0"/>
              <w:right w:val="dotted" w:color="auto" w:sz="8" w:space="0"/>
            </w:tcBorders>
            <w:shd w:val="clear" w:color="auto" w:fill="4F81BD"/>
            <w:vAlign w:val="center"/>
          </w:tcPr>
          <w:p>
            <w:pPr>
              <w:pStyle w:val="56"/>
              <w:snapToGrid w:val="0"/>
              <w:spacing w:before="0" w:beforeLines="0" w:after="0" w:afterLines="0"/>
              <w:rPr>
                <w:rFonts w:ascii="Times New Roman" w:hAnsi="Times New Roman" w:eastAsia="Batang"/>
                <w:bCs/>
                <w:color w:val="FFFFFF"/>
                <w:szCs w:val="18"/>
              </w:rPr>
            </w:pPr>
            <w:r>
              <w:rPr>
                <w:rFonts w:ascii="Times New Roman" w:hAnsi="Times New Roman"/>
                <w:color w:val="FFFFFF"/>
                <w:szCs w:val="18"/>
                <w:lang w:val="en-GB"/>
              </w:rPr>
              <w:t xml:space="preserve">Number of </w:t>
            </w:r>
            <w:r>
              <w:rPr>
                <w:rFonts w:ascii="Times New Roman" w:hAnsi="Times New Roman"/>
                <w:color w:val="FFFFFF"/>
                <w:szCs w:val="18"/>
                <w:lang w:val="en-GB"/>
              </w:rPr>
              <w:br w:type="textWrapping"/>
            </w:r>
            <w:r>
              <w:rPr>
                <w:rFonts w:ascii="Times New Roman" w:hAnsi="Times New Roman"/>
                <w:color w:val="FFFFFF"/>
                <w:szCs w:val="18"/>
                <w:lang w:val="en-GB"/>
              </w:rPr>
              <w:t xml:space="preserve">CSI-RS antenna ports, </w:t>
            </w:r>
            <w:r>
              <w:rPr>
                <w:rFonts w:ascii="Times New Roman" w:hAnsi="Times New Roman" w:eastAsia="Calibri"/>
                <w:b w:val="0"/>
                <w:color w:val="FFFFFF"/>
                <w:position w:val="-10"/>
                <w:szCs w:val="18"/>
                <w:lang w:eastAsia="en-GB"/>
              </w:rPr>
              <w:object>
                <v:shape id="_x0000_i1062" o:spt="75" type="#_x0000_t75" style="height:14.2pt;width:28.35pt;" o:ole="t" filled="f" o:preferrelative="t" stroked="f" coordsize="21600,21600">
                  <v:path/>
                  <v:fill on="f" focussize="0,0"/>
                  <v:stroke on="f" joinstyle="miter"/>
                  <v:imagedata r:id="rId81" o:title=""/>
                  <o:lock v:ext="edit" aspectratio="t"/>
                  <w10:wrap type="none"/>
                  <w10:anchorlock/>
                </v:shape>
                <o:OLEObject Type="Embed" ProgID="Equation.DSMT4" ShapeID="_x0000_i1062" DrawAspect="Content" ObjectID="_1468075762" r:id="rId80">
                  <o:LockedField>false</o:LockedField>
                </o:OLEObject>
              </w:object>
            </w:r>
          </w:p>
        </w:tc>
        <w:tc>
          <w:tcPr>
            <w:tcW w:w="1550" w:type="pct"/>
            <w:vMerge w:val="restart"/>
            <w:tcBorders>
              <w:top w:val="single" w:color="4F81BD" w:sz="8" w:space="0"/>
              <w:left w:val="dotted" w:color="auto" w:sz="8" w:space="0"/>
              <w:bottom w:val="single" w:color="4F81BD" w:sz="8" w:space="0"/>
              <w:right w:val="dotted" w:color="auto" w:sz="8" w:space="0"/>
            </w:tcBorders>
            <w:shd w:val="clear" w:color="auto" w:fill="4F81BD"/>
            <w:vAlign w:val="center"/>
          </w:tcPr>
          <w:p>
            <w:pPr>
              <w:pStyle w:val="56"/>
              <w:snapToGrid w:val="0"/>
              <w:spacing w:before="0" w:beforeLines="0" w:after="0" w:afterLines="0"/>
              <w:rPr>
                <w:rFonts w:ascii="Times New Roman" w:hAnsi="Times New Roman" w:eastAsia="Batang"/>
                <w:b w:val="0"/>
                <w:bCs/>
                <w:color w:val="FFFFFF"/>
                <w:szCs w:val="18"/>
              </w:rPr>
            </w:pPr>
            <w:r>
              <w:rPr>
                <w:rFonts w:ascii="Times New Roman" w:hAnsi="Times New Roman" w:eastAsia="Calibri"/>
                <w:b w:val="0"/>
                <w:color w:val="FFFFFF"/>
                <w:position w:val="-10"/>
                <w:szCs w:val="18"/>
              </w:rPr>
              <w:object>
                <v:shape id="_x0000_i1063" o:spt="75" type="#_x0000_t75" style="height:14.2pt;width:36.55pt;" o:ole="t" filled="f" o:preferrelative="t" stroked="f" coordsize="21600,21600">
                  <v:path/>
                  <v:fill on="f" focussize="0,0"/>
                  <v:stroke on="f" joinstyle="miter"/>
                  <v:imagedata r:id="rId77" o:title=""/>
                  <o:lock v:ext="edit" aspectratio="t"/>
                  <w10:wrap type="none"/>
                  <w10:anchorlock/>
                </v:shape>
                <o:OLEObject Type="Embed" ProgID="Equation.3" ShapeID="_x0000_i1063" DrawAspect="Content" ObjectID="_1468075763" r:id="rId82">
                  <o:LockedField>false</o:LockedField>
                </o:OLEObject>
              </w:object>
            </w:r>
          </w:p>
        </w:tc>
        <w:tc>
          <w:tcPr>
            <w:tcW w:w="1550" w:type="pct"/>
            <w:vMerge w:val="restart"/>
            <w:tcBorders>
              <w:top w:val="single" w:color="4F81BD" w:sz="8" w:space="0"/>
              <w:left w:val="dotted" w:color="auto" w:sz="8" w:space="0"/>
              <w:bottom w:val="single" w:color="4F81BD" w:sz="8" w:space="0"/>
              <w:right w:val="single" w:color="4F81BD" w:sz="8" w:space="0"/>
            </w:tcBorders>
            <w:shd w:val="clear" w:color="auto" w:fill="4F81BD"/>
            <w:vAlign w:val="center"/>
          </w:tcPr>
          <w:p>
            <w:pPr>
              <w:pStyle w:val="56"/>
              <w:snapToGrid w:val="0"/>
              <w:spacing w:before="0" w:beforeLines="0" w:after="0" w:afterLines="0"/>
              <w:rPr>
                <w:rFonts w:ascii="Times New Roman" w:hAnsi="Times New Roman" w:eastAsia="Batang"/>
                <w:b w:val="0"/>
                <w:bCs/>
                <w:color w:val="FFFFFF"/>
                <w:szCs w:val="18"/>
              </w:rPr>
            </w:pPr>
            <w:r>
              <w:rPr>
                <w:rFonts w:ascii="Times New Roman" w:hAnsi="Times New Roman" w:eastAsia="Calibri"/>
                <w:b w:val="0"/>
                <w:color w:val="FFFFFF"/>
                <w:position w:val="-10"/>
                <w:szCs w:val="18"/>
              </w:rPr>
              <w:object>
                <v:shape id="_x0000_i1064" o:spt="75" type="#_x0000_t75" style="height:14.2pt;width:36.55pt;" o:ole="t" filled="f" o:preferrelative="t" stroked="f" coordsize="21600,21600">
                  <v:path/>
                  <v:fill on="f" focussize="0,0"/>
                  <v:stroke on="f" joinstyle="miter"/>
                  <v:imagedata r:id="rId79" o:title=""/>
                  <o:lock v:ext="edit" aspectratio="t"/>
                  <w10:wrap type="none"/>
                  <w10:anchorlock/>
                </v:shape>
                <o:OLEObject Type="Embed" ProgID="Equation.3" ShapeID="_x0000_i1064" DrawAspect="Content" ObjectID="_1468075764" r:id="rId83">
                  <o:LockedField>false</o:LockedField>
                </o:OLEObject>
              </w:object>
            </w:r>
          </w:p>
        </w:tc>
      </w:tr>
      <w:tr>
        <w:tblPrEx>
          <w:tblCellMar>
            <w:top w:w="0" w:type="dxa"/>
            <w:left w:w="108" w:type="dxa"/>
            <w:bottom w:w="0" w:type="dxa"/>
            <w:right w:w="108" w:type="dxa"/>
          </w:tblCellMar>
        </w:tblPrEx>
        <w:trPr>
          <w:cantSplit/>
          <w:trHeight w:val="380" w:hRule="atLeast"/>
          <w:jc w:val="center"/>
        </w:trPr>
        <w:tc>
          <w:tcPr>
            <w:tcW w:w="1898" w:type="pct"/>
            <w:vMerge w:val="continue"/>
            <w:tcBorders>
              <w:top w:val="single" w:color="4F81BD" w:sz="8" w:space="0"/>
              <w:left w:val="single" w:color="4F81BD" w:sz="8" w:space="0"/>
              <w:bottom w:val="single" w:color="4F81BD" w:sz="8" w:space="0"/>
              <w:right w:val="dotted" w:color="auto" w:sz="8" w:space="0"/>
            </w:tcBorders>
            <w:shd w:val="clear" w:color="auto" w:fill="E9EDF4"/>
            <w:vAlign w:val="center"/>
          </w:tcPr>
          <w:p>
            <w:pPr>
              <w:snapToGrid w:val="0"/>
              <w:spacing w:before="0" w:beforeLines="0" w:after="0" w:afterLines="0"/>
              <w:rPr>
                <w:rFonts w:eastAsia="Batang"/>
                <w:b/>
                <w:bCs/>
                <w:color w:val="000000"/>
                <w:sz w:val="18"/>
                <w:szCs w:val="18"/>
              </w:rPr>
            </w:pPr>
          </w:p>
        </w:tc>
        <w:tc>
          <w:tcPr>
            <w:tcW w:w="1550" w:type="pct"/>
            <w:vMerge w:val="continue"/>
            <w:tcBorders>
              <w:top w:val="single" w:color="4F81BD" w:sz="8" w:space="0"/>
              <w:left w:val="dotted" w:color="auto" w:sz="8" w:space="0"/>
              <w:bottom w:val="single" w:color="4F81BD" w:sz="8" w:space="0"/>
              <w:right w:val="dotted" w:color="auto" w:sz="8" w:space="0"/>
            </w:tcBorders>
            <w:shd w:val="clear" w:color="auto" w:fill="E9EDF4"/>
            <w:vAlign w:val="center"/>
          </w:tcPr>
          <w:p>
            <w:pPr>
              <w:snapToGrid w:val="0"/>
              <w:spacing w:before="0" w:beforeLines="0" w:after="0" w:afterLines="0"/>
              <w:rPr>
                <w:rFonts w:eastAsia="Batang"/>
                <w:b/>
                <w:bCs/>
                <w:color w:val="000000"/>
                <w:sz w:val="18"/>
                <w:szCs w:val="18"/>
              </w:rPr>
            </w:pPr>
          </w:p>
        </w:tc>
        <w:tc>
          <w:tcPr>
            <w:tcW w:w="1550" w:type="pct"/>
            <w:vMerge w:val="continue"/>
            <w:tcBorders>
              <w:top w:val="single" w:color="4F81BD" w:sz="8" w:space="0"/>
              <w:left w:val="dotted" w:color="auto" w:sz="8" w:space="0"/>
              <w:bottom w:val="single" w:color="4F81BD" w:sz="8" w:space="0"/>
              <w:right w:val="single" w:color="4F81BD" w:sz="8" w:space="0"/>
            </w:tcBorders>
            <w:shd w:val="clear" w:color="auto" w:fill="E9EDF4"/>
            <w:vAlign w:val="center"/>
          </w:tcPr>
          <w:p>
            <w:pPr>
              <w:snapToGrid w:val="0"/>
              <w:spacing w:before="0" w:beforeLines="0" w:after="0" w:afterLines="0"/>
              <w:rPr>
                <w:rFonts w:eastAsia="Batang"/>
                <w:b/>
                <w:bCs/>
                <w:color w:val="000000"/>
                <w:sz w:val="18"/>
                <w:szCs w:val="18"/>
              </w:rPr>
            </w:pPr>
          </w:p>
        </w:tc>
      </w:tr>
      <w:tr>
        <w:tblPrEx>
          <w:tblCellMar>
            <w:top w:w="0" w:type="dxa"/>
            <w:left w:w="108" w:type="dxa"/>
            <w:bottom w:w="0" w:type="dxa"/>
            <w:right w:w="108" w:type="dxa"/>
          </w:tblCellMar>
        </w:tblPrEx>
        <w:trPr>
          <w:cantSplit/>
          <w:trHeight w:val="90" w:hRule="atLeast"/>
          <w:jc w:val="center"/>
        </w:trPr>
        <w:tc>
          <w:tcPr>
            <w:tcW w:w="1898" w:type="pct"/>
            <w:tcBorders>
              <w:top w:val="single" w:color="4F81BD" w:sz="8" w:space="0"/>
              <w:left w:val="single" w:color="4F81BD" w:sz="8" w:space="0"/>
              <w:bottom w:val="single" w:color="4F81BD" w:sz="8" w:space="0"/>
              <w:right w:val="dotted" w:color="auto" w:sz="8" w:space="0"/>
            </w:tcBorders>
            <w:shd w:val="clear" w:color="auto" w:fill="E9EDF4"/>
            <w:vAlign w:val="center"/>
          </w:tcPr>
          <w:p>
            <w:pPr>
              <w:pStyle w:val="53"/>
              <w:snapToGrid w:val="0"/>
              <w:spacing w:before="0" w:beforeLines="0" w:after="0" w:afterLines="0"/>
              <w:rPr>
                <w:rFonts w:ascii="Times New Roman" w:hAnsi="Times New Roman" w:eastAsia="Batang"/>
                <w:b/>
                <w:bCs/>
                <w:color w:val="000000"/>
                <w:szCs w:val="18"/>
              </w:rPr>
            </w:pPr>
            <w:r>
              <w:rPr>
                <w:rFonts w:ascii="Times New Roman" w:hAnsi="Times New Roman"/>
                <w:color w:val="000000"/>
                <w:szCs w:val="18"/>
                <w:lang w:val="en-GB"/>
              </w:rPr>
              <w:t>4</w:t>
            </w:r>
          </w:p>
        </w:tc>
        <w:tc>
          <w:tcPr>
            <w:tcW w:w="1550" w:type="pct"/>
            <w:tcBorders>
              <w:top w:val="single" w:color="4F81BD" w:sz="8" w:space="0"/>
              <w:left w:val="dotted" w:color="auto" w:sz="8" w:space="0"/>
              <w:bottom w:val="single" w:color="4F81BD" w:sz="8" w:space="0"/>
              <w:right w:val="dotted" w:color="auto" w:sz="8" w:space="0"/>
            </w:tcBorders>
            <w:shd w:val="clear" w:color="auto" w:fill="E9EDF4"/>
          </w:tcPr>
          <w:p>
            <w:pPr>
              <w:pStyle w:val="53"/>
              <w:snapToGrid w:val="0"/>
              <w:spacing w:before="0" w:beforeLines="0" w:after="0" w:afterLines="0"/>
              <w:rPr>
                <w:rFonts w:ascii="Times New Roman" w:hAnsi="Times New Roman"/>
                <w:color w:val="000000"/>
                <w:szCs w:val="18"/>
                <w:lang w:val="en-GB"/>
              </w:rPr>
            </w:pPr>
            <w:r>
              <w:rPr>
                <w:rFonts w:ascii="Times New Roman" w:hAnsi="Times New Roman"/>
                <w:color w:val="000000"/>
                <w:szCs w:val="18"/>
                <w:lang w:val="en-GB"/>
              </w:rPr>
              <w:t>(2,1)</w:t>
            </w:r>
          </w:p>
        </w:tc>
        <w:tc>
          <w:tcPr>
            <w:tcW w:w="1550" w:type="pct"/>
            <w:tcBorders>
              <w:top w:val="single" w:color="4F81BD" w:sz="8" w:space="0"/>
              <w:left w:val="dotted" w:color="auto" w:sz="8" w:space="0"/>
              <w:bottom w:val="single" w:color="4F81BD" w:sz="8" w:space="0"/>
              <w:right w:val="single" w:color="4F81BD" w:sz="8" w:space="0"/>
            </w:tcBorders>
            <w:shd w:val="clear" w:color="auto" w:fill="E9EDF4"/>
          </w:tcPr>
          <w:p>
            <w:pPr>
              <w:pStyle w:val="53"/>
              <w:snapToGrid w:val="0"/>
              <w:spacing w:before="0" w:beforeLines="0" w:after="0" w:afterLines="0"/>
              <w:rPr>
                <w:rFonts w:ascii="Times New Roman" w:hAnsi="Times New Roman"/>
                <w:color w:val="000000"/>
                <w:szCs w:val="18"/>
                <w:lang w:val="en-GB"/>
              </w:rPr>
            </w:pPr>
            <w:r>
              <w:rPr>
                <w:rFonts w:ascii="Times New Roman" w:hAnsi="Times New Roman"/>
                <w:color w:val="000000"/>
                <w:szCs w:val="18"/>
                <w:lang w:val="en-GB"/>
              </w:rPr>
              <w:t>(4,1)</w:t>
            </w:r>
          </w:p>
        </w:tc>
      </w:tr>
      <w:tr>
        <w:trPr>
          <w:cantSplit/>
          <w:trHeight w:val="90" w:hRule="atLeast"/>
          <w:jc w:val="center"/>
        </w:trPr>
        <w:tc>
          <w:tcPr>
            <w:tcW w:w="1898" w:type="pct"/>
            <w:vMerge w:val="restart"/>
            <w:tcBorders>
              <w:top w:val="single" w:color="4F81BD" w:sz="8" w:space="0"/>
              <w:left w:val="single" w:color="4F81BD" w:sz="8" w:space="0"/>
              <w:bottom w:val="single" w:color="4F81BD" w:sz="8" w:space="0"/>
              <w:right w:val="dotted" w:color="auto" w:sz="8" w:space="0"/>
            </w:tcBorders>
            <w:shd w:val="clear" w:color="auto" w:fill="FFFFFF"/>
            <w:vAlign w:val="center"/>
          </w:tcPr>
          <w:p>
            <w:pPr>
              <w:pStyle w:val="53"/>
              <w:snapToGrid w:val="0"/>
              <w:spacing w:before="0" w:beforeLines="0" w:after="0" w:afterLines="0"/>
              <w:rPr>
                <w:rFonts w:ascii="Times New Roman" w:hAnsi="Times New Roman" w:eastAsia="Batang"/>
                <w:b/>
                <w:bCs/>
                <w:color w:val="000000"/>
                <w:szCs w:val="18"/>
              </w:rPr>
            </w:pPr>
            <w:r>
              <w:rPr>
                <w:rFonts w:ascii="Times New Roman" w:hAnsi="Times New Roman"/>
                <w:color w:val="000000"/>
                <w:szCs w:val="18"/>
                <w:lang w:val="en-GB"/>
              </w:rPr>
              <w:t>8</w:t>
            </w:r>
          </w:p>
        </w:tc>
        <w:tc>
          <w:tcPr>
            <w:tcW w:w="1550" w:type="pct"/>
            <w:tcBorders>
              <w:top w:val="single" w:color="4F81BD" w:sz="8" w:space="0"/>
              <w:left w:val="dotted" w:color="auto" w:sz="8" w:space="0"/>
              <w:bottom w:val="single" w:color="4F81BD" w:sz="8" w:space="0"/>
              <w:right w:val="dotted" w:color="auto" w:sz="8" w:space="0"/>
            </w:tcBorders>
            <w:shd w:val="clear" w:color="auto" w:fill="FFFFFF"/>
          </w:tcPr>
          <w:p>
            <w:pPr>
              <w:pStyle w:val="53"/>
              <w:snapToGrid w:val="0"/>
              <w:spacing w:before="0" w:beforeLines="0" w:after="0" w:afterLines="0"/>
              <w:rPr>
                <w:rFonts w:ascii="Times New Roman" w:hAnsi="Times New Roman"/>
                <w:color w:val="000000"/>
                <w:szCs w:val="18"/>
                <w:lang w:val="en-GB"/>
              </w:rPr>
            </w:pPr>
            <w:r>
              <w:rPr>
                <w:rFonts w:ascii="Times New Roman" w:hAnsi="Times New Roman"/>
                <w:color w:val="000000"/>
                <w:szCs w:val="18"/>
                <w:lang w:val="en-GB"/>
              </w:rPr>
              <w:t>(2,2)</w:t>
            </w:r>
          </w:p>
        </w:tc>
        <w:tc>
          <w:tcPr>
            <w:tcW w:w="1550" w:type="pct"/>
            <w:tcBorders>
              <w:top w:val="single" w:color="4F81BD" w:sz="8" w:space="0"/>
              <w:left w:val="dotted" w:color="auto" w:sz="8" w:space="0"/>
              <w:bottom w:val="single" w:color="4F81BD" w:sz="8" w:space="0"/>
              <w:right w:val="single" w:color="4F81BD" w:sz="8" w:space="0"/>
            </w:tcBorders>
            <w:shd w:val="clear" w:color="auto" w:fill="FFFFFF"/>
          </w:tcPr>
          <w:p>
            <w:pPr>
              <w:pStyle w:val="53"/>
              <w:snapToGrid w:val="0"/>
              <w:spacing w:before="0" w:beforeLines="0" w:after="0" w:afterLines="0"/>
              <w:rPr>
                <w:rFonts w:ascii="Times New Roman" w:hAnsi="Times New Roman"/>
                <w:color w:val="000000"/>
                <w:szCs w:val="18"/>
                <w:lang w:val="en-GB"/>
              </w:rPr>
            </w:pPr>
            <w:r>
              <w:rPr>
                <w:rFonts w:ascii="Times New Roman" w:hAnsi="Times New Roman"/>
                <w:color w:val="000000"/>
                <w:szCs w:val="18"/>
                <w:lang w:val="en-GB"/>
              </w:rPr>
              <w:t xml:space="preserve">(4,4) </w:t>
            </w:r>
          </w:p>
        </w:tc>
      </w:tr>
      <w:tr>
        <w:tblPrEx>
          <w:tblCellMar>
            <w:top w:w="0" w:type="dxa"/>
            <w:left w:w="108" w:type="dxa"/>
            <w:bottom w:w="0" w:type="dxa"/>
            <w:right w:w="108" w:type="dxa"/>
          </w:tblCellMar>
        </w:tblPrEx>
        <w:trPr>
          <w:cantSplit/>
          <w:trHeight w:val="90" w:hRule="atLeast"/>
          <w:jc w:val="center"/>
        </w:trPr>
        <w:tc>
          <w:tcPr>
            <w:tcW w:w="1898" w:type="pct"/>
            <w:vMerge w:val="continue"/>
            <w:tcBorders>
              <w:top w:val="single" w:color="4F81BD" w:sz="8" w:space="0"/>
              <w:left w:val="single" w:color="4F81BD" w:sz="8" w:space="0"/>
              <w:bottom w:val="single" w:color="4F81BD" w:sz="8" w:space="0"/>
              <w:right w:val="dotted" w:color="auto" w:sz="8" w:space="0"/>
            </w:tcBorders>
            <w:shd w:val="clear" w:color="auto" w:fill="E9EDF4"/>
            <w:vAlign w:val="center"/>
          </w:tcPr>
          <w:p>
            <w:pPr>
              <w:pStyle w:val="53"/>
              <w:snapToGrid w:val="0"/>
              <w:spacing w:before="0" w:beforeLines="0" w:after="0" w:afterLines="0"/>
              <w:rPr>
                <w:rFonts w:ascii="Times New Roman" w:hAnsi="Times New Roman"/>
                <w:color w:val="000000"/>
                <w:szCs w:val="18"/>
                <w:lang w:val="en-GB"/>
              </w:rPr>
            </w:pPr>
          </w:p>
        </w:tc>
        <w:tc>
          <w:tcPr>
            <w:tcW w:w="1550" w:type="pct"/>
            <w:tcBorders>
              <w:top w:val="single" w:color="4F81BD" w:sz="8" w:space="0"/>
              <w:left w:val="dotted" w:color="auto" w:sz="8" w:space="0"/>
              <w:bottom w:val="single" w:color="4F81BD" w:sz="8" w:space="0"/>
              <w:right w:val="dotted" w:color="auto" w:sz="8" w:space="0"/>
            </w:tcBorders>
            <w:shd w:val="clear" w:color="auto" w:fill="E9EDF4"/>
          </w:tcPr>
          <w:p>
            <w:pPr>
              <w:pStyle w:val="53"/>
              <w:snapToGrid w:val="0"/>
              <w:spacing w:before="0" w:beforeLines="0" w:after="0" w:afterLines="0"/>
              <w:rPr>
                <w:rFonts w:ascii="Times New Roman" w:hAnsi="Times New Roman"/>
                <w:color w:val="000000"/>
                <w:szCs w:val="18"/>
                <w:lang w:val="en-GB"/>
              </w:rPr>
            </w:pPr>
            <w:r>
              <w:rPr>
                <w:rFonts w:ascii="Times New Roman" w:hAnsi="Times New Roman"/>
                <w:color w:val="000000"/>
                <w:szCs w:val="18"/>
                <w:lang w:val="en-GB"/>
              </w:rPr>
              <w:t>(4,1)</w:t>
            </w:r>
          </w:p>
        </w:tc>
        <w:tc>
          <w:tcPr>
            <w:tcW w:w="1550" w:type="pct"/>
            <w:tcBorders>
              <w:top w:val="single" w:color="4F81BD" w:sz="8" w:space="0"/>
              <w:left w:val="dotted" w:color="auto" w:sz="8" w:space="0"/>
              <w:bottom w:val="single" w:color="4F81BD" w:sz="8" w:space="0"/>
              <w:right w:val="single" w:color="4F81BD" w:sz="8" w:space="0"/>
            </w:tcBorders>
            <w:shd w:val="clear" w:color="auto" w:fill="E9EDF4"/>
          </w:tcPr>
          <w:p>
            <w:pPr>
              <w:pStyle w:val="53"/>
              <w:snapToGrid w:val="0"/>
              <w:spacing w:before="0" w:beforeLines="0" w:after="0" w:afterLines="0"/>
              <w:rPr>
                <w:rFonts w:ascii="Times New Roman" w:hAnsi="Times New Roman"/>
                <w:color w:val="000000"/>
                <w:szCs w:val="18"/>
                <w:lang w:val="en-GB"/>
              </w:rPr>
            </w:pPr>
            <w:r>
              <w:rPr>
                <w:rFonts w:ascii="Times New Roman" w:hAnsi="Times New Roman" w:eastAsia="MS Mincho"/>
                <w:color w:val="000000"/>
                <w:szCs w:val="18"/>
                <w:lang w:val="en-GB" w:eastAsia="ja-JP"/>
              </w:rPr>
              <w:t>(4,1)</w:t>
            </w:r>
          </w:p>
        </w:tc>
      </w:tr>
      <w:tr>
        <w:tblPrEx>
          <w:tblCellMar>
            <w:top w:w="0" w:type="dxa"/>
            <w:left w:w="108" w:type="dxa"/>
            <w:bottom w:w="0" w:type="dxa"/>
            <w:right w:w="108" w:type="dxa"/>
          </w:tblCellMar>
        </w:tblPrEx>
        <w:trPr>
          <w:cantSplit/>
          <w:trHeight w:val="90" w:hRule="atLeast"/>
          <w:jc w:val="center"/>
        </w:trPr>
        <w:tc>
          <w:tcPr>
            <w:tcW w:w="1898" w:type="pct"/>
            <w:vMerge w:val="restart"/>
            <w:tcBorders>
              <w:top w:val="single" w:color="4F81BD" w:sz="8" w:space="0"/>
              <w:left w:val="single" w:color="4F81BD" w:sz="8" w:space="0"/>
              <w:bottom w:val="single" w:color="4F81BD" w:sz="8" w:space="0"/>
              <w:right w:val="dotted" w:color="auto" w:sz="8" w:space="0"/>
            </w:tcBorders>
            <w:shd w:val="clear" w:color="auto" w:fill="FFFFFF"/>
            <w:vAlign w:val="center"/>
          </w:tcPr>
          <w:p>
            <w:pPr>
              <w:pStyle w:val="53"/>
              <w:snapToGrid w:val="0"/>
              <w:spacing w:before="0" w:beforeLines="0" w:after="0" w:afterLines="0"/>
              <w:rPr>
                <w:rFonts w:ascii="Times New Roman" w:hAnsi="Times New Roman"/>
                <w:color w:val="000000"/>
                <w:szCs w:val="18"/>
                <w:lang w:val="en-GB"/>
              </w:rPr>
            </w:pPr>
            <w:r>
              <w:rPr>
                <w:rFonts w:ascii="Times New Roman" w:hAnsi="Times New Roman"/>
                <w:color w:val="000000"/>
                <w:szCs w:val="18"/>
                <w:lang w:val="en-GB"/>
              </w:rPr>
              <w:t>12</w:t>
            </w:r>
          </w:p>
        </w:tc>
        <w:tc>
          <w:tcPr>
            <w:tcW w:w="1550" w:type="pct"/>
            <w:tcBorders>
              <w:top w:val="single" w:color="4F81BD" w:sz="8" w:space="0"/>
              <w:left w:val="dotted" w:color="auto" w:sz="8" w:space="0"/>
              <w:bottom w:val="single" w:color="4F81BD" w:sz="8" w:space="0"/>
              <w:right w:val="dotted" w:color="auto" w:sz="8" w:space="0"/>
            </w:tcBorders>
            <w:shd w:val="clear" w:color="auto" w:fill="FFFFFF"/>
          </w:tcPr>
          <w:p>
            <w:pPr>
              <w:pStyle w:val="53"/>
              <w:snapToGrid w:val="0"/>
              <w:spacing w:before="0" w:beforeLines="0" w:after="0" w:afterLines="0"/>
              <w:rPr>
                <w:rFonts w:ascii="Times New Roman" w:hAnsi="Times New Roman"/>
                <w:color w:val="000000"/>
                <w:szCs w:val="18"/>
                <w:lang w:val="en-GB"/>
              </w:rPr>
            </w:pPr>
            <w:r>
              <w:rPr>
                <w:rFonts w:ascii="Times New Roman" w:hAnsi="Times New Roman"/>
                <w:color w:val="000000"/>
                <w:szCs w:val="18"/>
                <w:lang w:val="en-GB"/>
              </w:rPr>
              <w:t>(3,2)</w:t>
            </w:r>
          </w:p>
        </w:tc>
        <w:tc>
          <w:tcPr>
            <w:tcW w:w="1550" w:type="pct"/>
            <w:tcBorders>
              <w:top w:val="single" w:color="4F81BD" w:sz="8" w:space="0"/>
              <w:left w:val="dotted" w:color="auto" w:sz="8" w:space="0"/>
              <w:bottom w:val="single" w:color="4F81BD" w:sz="8" w:space="0"/>
              <w:right w:val="single" w:color="4F81BD" w:sz="8" w:space="0"/>
            </w:tcBorders>
            <w:shd w:val="clear" w:color="auto" w:fill="FFFFFF"/>
          </w:tcPr>
          <w:p>
            <w:pPr>
              <w:pStyle w:val="53"/>
              <w:snapToGrid w:val="0"/>
              <w:spacing w:before="0" w:beforeLines="0" w:after="0" w:afterLines="0"/>
              <w:rPr>
                <w:rFonts w:ascii="Times New Roman" w:hAnsi="Times New Roman"/>
                <w:color w:val="000000"/>
                <w:szCs w:val="18"/>
                <w:lang w:val="en-GB"/>
              </w:rPr>
            </w:pPr>
            <w:r>
              <w:rPr>
                <w:rFonts w:ascii="Times New Roman" w:hAnsi="Times New Roman"/>
                <w:color w:val="000000"/>
                <w:szCs w:val="18"/>
                <w:lang w:val="en-GB"/>
              </w:rPr>
              <w:t>(4,4)</w:t>
            </w:r>
          </w:p>
        </w:tc>
      </w:tr>
      <w:tr>
        <w:tblPrEx>
          <w:tblCellMar>
            <w:top w:w="0" w:type="dxa"/>
            <w:left w:w="108" w:type="dxa"/>
            <w:bottom w:w="0" w:type="dxa"/>
            <w:right w:w="108" w:type="dxa"/>
          </w:tblCellMar>
        </w:tblPrEx>
        <w:trPr>
          <w:cantSplit/>
          <w:trHeight w:val="90" w:hRule="atLeast"/>
          <w:jc w:val="center"/>
        </w:trPr>
        <w:tc>
          <w:tcPr>
            <w:tcW w:w="1898" w:type="pct"/>
            <w:vMerge w:val="continue"/>
            <w:tcBorders>
              <w:top w:val="single" w:color="4F81BD" w:sz="8" w:space="0"/>
              <w:left w:val="single" w:color="4F81BD" w:sz="8" w:space="0"/>
              <w:bottom w:val="single" w:color="4F81BD" w:sz="8" w:space="0"/>
              <w:right w:val="dotted" w:color="auto" w:sz="8" w:space="0"/>
            </w:tcBorders>
            <w:shd w:val="clear" w:color="auto" w:fill="E9EDF4"/>
            <w:vAlign w:val="center"/>
          </w:tcPr>
          <w:p>
            <w:pPr>
              <w:pStyle w:val="53"/>
              <w:snapToGrid w:val="0"/>
              <w:spacing w:before="0" w:beforeLines="0" w:after="0" w:afterLines="0"/>
              <w:rPr>
                <w:rFonts w:ascii="Times New Roman" w:hAnsi="Times New Roman"/>
                <w:color w:val="000000"/>
                <w:szCs w:val="18"/>
                <w:lang w:val="en-GB"/>
              </w:rPr>
            </w:pPr>
          </w:p>
        </w:tc>
        <w:tc>
          <w:tcPr>
            <w:tcW w:w="1550" w:type="pct"/>
            <w:tcBorders>
              <w:top w:val="single" w:color="4F81BD" w:sz="8" w:space="0"/>
              <w:left w:val="dotted" w:color="auto" w:sz="8" w:space="0"/>
              <w:bottom w:val="single" w:color="4F81BD" w:sz="8" w:space="0"/>
              <w:right w:val="dotted" w:color="auto" w:sz="8" w:space="0"/>
            </w:tcBorders>
            <w:shd w:val="clear" w:color="auto" w:fill="E9EDF4"/>
          </w:tcPr>
          <w:p>
            <w:pPr>
              <w:pStyle w:val="53"/>
              <w:snapToGrid w:val="0"/>
              <w:spacing w:before="0" w:beforeLines="0" w:after="0" w:afterLines="0"/>
              <w:rPr>
                <w:rFonts w:ascii="Times New Roman" w:hAnsi="Times New Roman"/>
                <w:color w:val="000000"/>
                <w:szCs w:val="18"/>
                <w:lang w:val="en-GB"/>
              </w:rPr>
            </w:pPr>
            <w:r>
              <w:rPr>
                <w:rFonts w:ascii="Times New Roman" w:hAnsi="Times New Roman"/>
                <w:color w:val="000000"/>
                <w:szCs w:val="18"/>
                <w:lang w:val="en-GB"/>
              </w:rPr>
              <w:t>(6,1)</w:t>
            </w:r>
          </w:p>
        </w:tc>
        <w:tc>
          <w:tcPr>
            <w:tcW w:w="1550" w:type="pct"/>
            <w:tcBorders>
              <w:top w:val="single" w:color="4F81BD" w:sz="8" w:space="0"/>
              <w:left w:val="dotted" w:color="auto" w:sz="8" w:space="0"/>
              <w:bottom w:val="single" w:color="4F81BD" w:sz="8" w:space="0"/>
              <w:right w:val="single" w:color="4F81BD" w:sz="8" w:space="0"/>
            </w:tcBorders>
            <w:shd w:val="clear" w:color="auto" w:fill="E9EDF4"/>
          </w:tcPr>
          <w:p>
            <w:pPr>
              <w:pStyle w:val="53"/>
              <w:snapToGrid w:val="0"/>
              <w:spacing w:before="0" w:beforeLines="0" w:after="0" w:afterLines="0"/>
              <w:rPr>
                <w:rFonts w:ascii="Times New Roman" w:hAnsi="Times New Roman"/>
                <w:color w:val="000000"/>
                <w:szCs w:val="18"/>
                <w:lang w:val="en-GB"/>
              </w:rPr>
            </w:pPr>
            <w:r>
              <w:rPr>
                <w:rFonts w:ascii="Times New Roman" w:hAnsi="Times New Roman" w:eastAsia="MS Mincho"/>
                <w:color w:val="000000"/>
                <w:szCs w:val="18"/>
                <w:lang w:val="en-GB" w:eastAsia="ja-JP"/>
              </w:rPr>
              <w:t>(4,1)</w:t>
            </w:r>
          </w:p>
        </w:tc>
      </w:tr>
      <w:tr>
        <w:trPr>
          <w:cantSplit/>
          <w:trHeight w:val="196" w:hRule="atLeast"/>
          <w:jc w:val="center"/>
        </w:trPr>
        <w:tc>
          <w:tcPr>
            <w:tcW w:w="1898" w:type="pct"/>
            <w:vMerge w:val="restart"/>
            <w:tcBorders>
              <w:top w:val="single" w:color="4F81BD" w:sz="8" w:space="0"/>
              <w:left w:val="single" w:color="4F81BD" w:sz="8" w:space="0"/>
              <w:bottom w:val="single" w:color="4F81BD" w:sz="8" w:space="0"/>
              <w:right w:val="dotted" w:color="auto" w:sz="8" w:space="0"/>
            </w:tcBorders>
            <w:shd w:val="clear" w:color="auto" w:fill="FFFFFF"/>
            <w:vAlign w:val="center"/>
          </w:tcPr>
          <w:p>
            <w:pPr>
              <w:pStyle w:val="53"/>
              <w:snapToGrid w:val="0"/>
              <w:spacing w:before="0" w:beforeLines="0" w:after="0" w:afterLines="0"/>
              <w:rPr>
                <w:rFonts w:ascii="Times New Roman" w:hAnsi="Times New Roman"/>
                <w:color w:val="000000"/>
                <w:szCs w:val="18"/>
                <w:lang w:val="en-GB"/>
              </w:rPr>
            </w:pPr>
            <w:r>
              <w:rPr>
                <w:rFonts w:ascii="Times New Roman" w:hAnsi="Times New Roman" w:eastAsia="MS Mincho"/>
                <w:color w:val="000000"/>
                <w:szCs w:val="18"/>
                <w:lang w:val="en-GB" w:eastAsia="ja-JP"/>
              </w:rPr>
              <w:t>16</w:t>
            </w:r>
          </w:p>
        </w:tc>
        <w:tc>
          <w:tcPr>
            <w:tcW w:w="1550" w:type="pct"/>
            <w:tcBorders>
              <w:top w:val="single" w:color="4F81BD" w:sz="8" w:space="0"/>
              <w:left w:val="dotted" w:color="auto" w:sz="8" w:space="0"/>
              <w:bottom w:val="single" w:color="4F81BD" w:sz="8" w:space="0"/>
              <w:right w:val="dotted" w:color="auto" w:sz="8" w:space="0"/>
            </w:tcBorders>
            <w:shd w:val="clear" w:color="auto" w:fill="FFFFFF"/>
          </w:tcPr>
          <w:p>
            <w:pPr>
              <w:pStyle w:val="53"/>
              <w:snapToGrid w:val="0"/>
              <w:spacing w:before="0" w:beforeLines="0" w:after="0" w:afterLines="0"/>
              <w:rPr>
                <w:rFonts w:ascii="Times New Roman" w:hAnsi="Times New Roman"/>
                <w:b/>
                <w:color w:val="000000"/>
                <w:szCs w:val="18"/>
                <w:lang w:val="en-GB"/>
              </w:rPr>
            </w:pPr>
            <w:r>
              <w:rPr>
                <w:rFonts w:ascii="Times New Roman" w:hAnsi="Times New Roman" w:eastAsia="MS Mincho"/>
                <w:color w:val="000000"/>
                <w:szCs w:val="18"/>
                <w:lang w:val="en-GB" w:eastAsia="ja-JP"/>
              </w:rPr>
              <w:t>(4,2)</w:t>
            </w:r>
          </w:p>
        </w:tc>
        <w:tc>
          <w:tcPr>
            <w:tcW w:w="1550" w:type="pct"/>
            <w:tcBorders>
              <w:top w:val="single" w:color="4F81BD" w:sz="8" w:space="0"/>
              <w:left w:val="dotted" w:color="auto" w:sz="8" w:space="0"/>
              <w:bottom w:val="single" w:color="4F81BD" w:sz="8" w:space="0"/>
              <w:right w:val="single" w:color="4F81BD" w:sz="8" w:space="0"/>
            </w:tcBorders>
            <w:shd w:val="clear" w:color="auto" w:fill="FFFFFF"/>
          </w:tcPr>
          <w:p>
            <w:pPr>
              <w:pStyle w:val="53"/>
              <w:snapToGrid w:val="0"/>
              <w:spacing w:before="0" w:beforeLines="0" w:after="0" w:afterLines="0"/>
              <w:rPr>
                <w:rFonts w:ascii="Times New Roman" w:hAnsi="Times New Roman"/>
                <w:b/>
                <w:color w:val="000000"/>
                <w:szCs w:val="18"/>
                <w:lang w:val="en-GB"/>
              </w:rPr>
            </w:pPr>
            <w:r>
              <w:rPr>
                <w:rFonts w:ascii="Times New Roman" w:hAnsi="Times New Roman" w:eastAsia="MS Mincho"/>
                <w:color w:val="000000"/>
                <w:szCs w:val="18"/>
                <w:lang w:val="en-GB" w:eastAsia="ja-JP"/>
              </w:rPr>
              <w:t>(4,4)</w:t>
            </w:r>
          </w:p>
        </w:tc>
      </w:tr>
      <w:tr>
        <w:tblPrEx>
          <w:tblCellMar>
            <w:top w:w="0" w:type="dxa"/>
            <w:left w:w="108" w:type="dxa"/>
            <w:bottom w:w="0" w:type="dxa"/>
            <w:right w:w="108" w:type="dxa"/>
          </w:tblCellMar>
        </w:tblPrEx>
        <w:trPr>
          <w:cantSplit/>
          <w:trHeight w:val="211" w:hRule="atLeast"/>
          <w:jc w:val="center"/>
        </w:trPr>
        <w:tc>
          <w:tcPr>
            <w:tcW w:w="1898" w:type="pct"/>
            <w:vMerge w:val="continue"/>
            <w:tcBorders>
              <w:top w:val="single" w:color="4F81BD" w:sz="8" w:space="0"/>
              <w:left w:val="single" w:color="4F81BD" w:sz="8" w:space="0"/>
              <w:bottom w:val="single" w:color="4F81BD" w:sz="8" w:space="0"/>
              <w:right w:val="dotted" w:color="auto" w:sz="8" w:space="0"/>
            </w:tcBorders>
            <w:shd w:val="clear" w:color="auto" w:fill="E9EDF4"/>
            <w:vAlign w:val="center"/>
          </w:tcPr>
          <w:p>
            <w:pPr>
              <w:pStyle w:val="53"/>
              <w:snapToGrid w:val="0"/>
              <w:spacing w:before="0" w:beforeLines="0" w:after="0" w:afterLines="0"/>
              <w:rPr>
                <w:rFonts w:ascii="Times New Roman" w:hAnsi="Times New Roman"/>
                <w:color w:val="000000"/>
                <w:szCs w:val="18"/>
                <w:lang w:val="en-GB"/>
              </w:rPr>
            </w:pPr>
          </w:p>
        </w:tc>
        <w:tc>
          <w:tcPr>
            <w:tcW w:w="1550" w:type="pct"/>
            <w:tcBorders>
              <w:top w:val="single" w:color="4F81BD" w:sz="8" w:space="0"/>
              <w:left w:val="dotted" w:color="auto" w:sz="8" w:space="0"/>
              <w:bottom w:val="single" w:color="4F81BD" w:sz="8" w:space="0"/>
              <w:right w:val="dotted" w:color="auto" w:sz="8" w:space="0"/>
            </w:tcBorders>
            <w:shd w:val="clear" w:color="auto" w:fill="E9EDF4"/>
          </w:tcPr>
          <w:p>
            <w:pPr>
              <w:pStyle w:val="53"/>
              <w:snapToGrid w:val="0"/>
              <w:spacing w:before="0" w:beforeLines="0" w:after="0" w:afterLines="0"/>
              <w:rPr>
                <w:rFonts w:ascii="Times New Roman" w:hAnsi="Times New Roman"/>
                <w:b/>
                <w:color w:val="000000"/>
                <w:szCs w:val="18"/>
                <w:lang w:val="en-GB"/>
              </w:rPr>
            </w:pPr>
            <w:r>
              <w:rPr>
                <w:rFonts w:ascii="Times New Roman" w:hAnsi="Times New Roman" w:eastAsia="MS Mincho"/>
                <w:color w:val="000000"/>
                <w:szCs w:val="18"/>
                <w:lang w:val="en-GB" w:eastAsia="ja-JP"/>
              </w:rPr>
              <w:t>(8,1)</w:t>
            </w:r>
          </w:p>
        </w:tc>
        <w:tc>
          <w:tcPr>
            <w:tcW w:w="1550" w:type="pct"/>
            <w:tcBorders>
              <w:top w:val="single" w:color="4F81BD" w:sz="8" w:space="0"/>
              <w:left w:val="dotted" w:color="auto" w:sz="8" w:space="0"/>
              <w:bottom w:val="single" w:color="4F81BD" w:sz="8" w:space="0"/>
              <w:right w:val="single" w:color="4F81BD" w:sz="8" w:space="0"/>
            </w:tcBorders>
            <w:shd w:val="clear" w:color="auto" w:fill="E9EDF4"/>
          </w:tcPr>
          <w:p>
            <w:pPr>
              <w:pStyle w:val="53"/>
              <w:snapToGrid w:val="0"/>
              <w:spacing w:before="0" w:beforeLines="0" w:after="0" w:afterLines="0"/>
              <w:rPr>
                <w:rFonts w:ascii="Times New Roman" w:hAnsi="Times New Roman"/>
                <w:b/>
                <w:color w:val="000000"/>
                <w:szCs w:val="18"/>
                <w:lang w:val="en-GB"/>
              </w:rPr>
            </w:pPr>
            <w:r>
              <w:rPr>
                <w:rFonts w:ascii="Times New Roman" w:hAnsi="Times New Roman" w:eastAsia="MS Mincho"/>
                <w:color w:val="000000"/>
                <w:szCs w:val="18"/>
                <w:lang w:val="en-GB" w:eastAsia="ja-JP"/>
              </w:rPr>
              <w:t>(4,1)</w:t>
            </w:r>
          </w:p>
        </w:tc>
      </w:tr>
      <w:tr>
        <w:tblPrEx>
          <w:tblCellMar>
            <w:top w:w="0" w:type="dxa"/>
            <w:left w:w="108" w:type="dxa"/>
            <w:bottom w:w="0" w:type="dxa"/>
            <w:right w:w="108" w:type="dxa"/>
          </w:tblCellMar>
        </w:tblPrEx>
        <w:trPr>
          <w:cantSplit/>
          <w:trHeight w:val="90" w:hRule="atLeast"/>
          <w:jc w:val="center"/>
        </w:trPr>
        <w:tc>
          <w:tcPr>
            <w:tcW w:w="1898" w:type="pct"/>
            <w:vMerge w:val="restart"/>
            <w:tcBorders>
              <w:top w:val="single" w:color="4F81BD" w:sz="8" w:space="0"/>
              <w:left w:val="single" w:color="4F81BD" w:sz="8" w:space="0"/>
              <w:bottom w:val="single" w:color="4F81BD" w:sz="8" w:space="0"/>
              <w:right w:val="dotted" w:color="auto" w:sz="8" w:space="0"/>
            </w:tcBorders>
            <w:shd w:val="clear" w:color="auto" w:fill="FFFFFF"/>
            <w:vAlign w:val="center"/>
          </w:tcPr>
          <w:p>
            <w:pPr>
              <w:pStyle w:val="53"/>
              <w:snapToGrid w:val="0"/>
              <w:spacing w:before="0" w:beforeLines="0" w:after="0" w:afterLines="0"/>
              <w:rPr>
                <w:rFonts w:ascii="Times New Roman" w:hAnsi="Times New Roman"/>
                <w:color w:val="000000"/>
                <w:szCs w:val="18"/>
                <w:lang w:val="en-GB"/>
              </w:rPr>
            </w:pPr>
            <w:r>
              <w:rPr>
                <w:rFonts w:ascii="Times New Roman" w:hAnsi="Times New Roman" w:eastAsia="MS Mincho"/>
                <w:color w:val="000000"/>
                <w:szCs w:val="18"/>
                <w:lang w:val="en-GB" w:eastAsia="ja-JP"/>
              </w:rPr>
              <w:t>24</w:t>
            </w:r>
          </w:p>
        </w:tc>
        <w:tc>
          <w:tcPr>
            <w:tcW w:w="1550" w:type="pct"/>
            <w:tcBorders>
              <w:top w:val="single" w:color="4F81BD" w:sz="8" w:space="0"/>
              <w:left w:val="dotted" w:color="auto" w:sz="8" w:space="0"/>
              <w:bottom w:val="single" w:color="4F81BD" w:sz="8" w:space="0"/>
              <w:right w:val="dotted" w:color="auto" w:sz="8" w:space="0"/>
            </w:tcBorders>
            <w:shd w:val="clear" w:color="auto" w:fill="FFFFFF"/>
          </w:tcPr>
          <w:p>
            <w:pPr>
              <w:pStyle w:val="53"/>
              <w:snapToGrid w:val="0"/>
              <w:spacing w:before="0" w:beforeLines="0" w:after="0" w:afterLines="0"/>
              <w:rPr>
                <w:rFonts w:ascii="Times New Roman" w:hAnsi="Times New Roman"/>
                <w:b/>
                <w:color w:val="000000"/>
                <w:szCs w:val="18"/>
                <w:lang w:val="en-GB"/>
              </w:rPr>
            </w:pPr>
            <w:r>
              <w:rPr>
                <w:rFonts w:ascii="Times New Roman" w:hAnsi="Times New Roman" w:eastAsia="MS Mincho"/>
                <w:color w:val="000000"/>
                <w:szCs w:val="18"/>
                <w:lang w:val="en-GB" w:eastAsia="ja-JP"/>
              </w:rPr>
              <w:t>(4,3)</w:t>
            </w:r>
          </w:p>
        </w:tc>
        <w:tc>
          <w:tcPr>
            <w:tcW w:w="1550" w:type="pct"/>
            <w:tcBorders>
              <w:top w:val="single" w:color="4F81BD" w:sz="8" w:space="0"/>
              <w:left w:val="dotted" w:color="auto" w:sz="8" w:space="0"/>
              <w:bottom w:val="single" w:color="4F81BD" w:sz="8" w:space="0"/>
              <w:right w:val="single" w:color="4F81BD" w:sz="8" w:space="0"/>
            </w:tcBorders>
            <w:shd w:val="clear" w:color="auto" w:fill="FFFFFF"/>
          </w:tcPr>
          <w:p>
            <w:pPr>
              <w:pStyle w:val="53"/>
              <w:snapToGrid w:val="0"/>
              <w:spacing w:before="0" w:beforeLines="0" w:after="0" w:afterLines="0"/>
              <w:rPr>
                <w:rFonts w:ascii="Times New Roman" w:hAnsi="Times New Roman"/>
                <w:b/>
                <w:color w:val="000000"/>
                <w:szCs w:val="18"/>
                <w:lang w:val="en-GB"/>
              </w:rPr>
            </w:pPr>
            <w:r>
              <w:rPr>
                <w:rFonts w:ascii="Times New Roman" w:hAnsi="Times New Roman" w:eastAsia="MS Mincho"/>
                <w:color w:val="000000"/>
                <w:szCs w:val="18"/>
                <w:lang w:val="en-GB" w:eastAsia="ja-JP"/>
              </w:rPr>
              <w:t>(4,4)</w:t>
            </w:r>
          </w:p>
        </w:tc>
      </w:tr>
      <w:tr>
        <w:tblPrEx>
          <w:tblCellMar>
            <w:top w:w="0" w:type="dxa"/>
            <w:left w:w="108" w:type="dxa"/>
            <w:bottom w:w="0" w:type="dxa"/>
            <w:right w:w="108" w:type="dxa"/>
          </w:tblCellMar>
        </w:tblPrEx>
        <w:trPr>
          <w:cantSplit/>
          <w:trHeight w:val="90" w:hRule="atLeast"/>
          <w:jc w:val="center"/>
        </w:trPr>
        <w:tc>
          <w:tcPr>
            <w:tcW w:w="1898" w:type="pct"/>
            <w:vMerge w:val="continue"/>
            <w:tcBorders>
              <w:top w:val="single" w:color="4F81BD" w:sz="8" w:space="0"/>
              <w:left w:val="single" w:color="4F81BD" w:sz="8" w:space="0"/>
              <w:bottom w:val="single" w:color="4F81BD" w:sz="8" w:space="0"/>
              <w:right w:val="dotted" w:color="auto" w:sz="8" w:space="0"/>
            </w:tcBorders>
            <w:shd w:val="clear" w:color="auto" w:fill="E9EDF4"/>
            <w:vAlign w:val="center"/>
          </w:tcPr>
          <w:p>
            <w:pPr>
              <w:pStyle w:val="53"/>
              <w:snapToGrid w:val="0"/>
              <w:spacing w:before="0" w:beforeLines="0" w:after="0" w:afterLines="0"/>
              <w:rPr>
                <w:rFonts w:ascii="Times New Roman" w:hAnsi="Times New Roman"/>
                <w:color w:val="000000"/>
                <w:szCs w:val="18"/>
                <w:lang w:val="en-GB"/>
              </w:rPr>
            </w:pPr>
          </w:p>
        </w:tc>
        <w:tc>
          <w:tcPr>
            <w:tcW w:w="1550" w:type="pct"/>
            <w:tcBorders>
              <w:top w:val="single" w:color="4F81BD" w:sz="8" w:space="0"/>
              <w:left w:val="dotted" w:color="auto" w:sz="8" w:space="0"/>
              <w:bottom w:val="single" w:color="4F81BD" w:sz="8" w:space="0"/>
              <w:right w:val="dotted" w:color="auto" w:sz="8" w:space="0"/>
            </w:tcBorders>
            <w:shd w:val="clear" w:color="auto" w:fill="E9EDF4"/>
          </w:tcPr>
          <w:p>
            <w:pPr>
              <w:pStyle w:val="53"/>
              <w:snapToGrid w:val="0"/>
              <w:spacing w:before="0" w:beforeLines="0" w:after="0" w:afterLines="0"/>
              <w:rPr>
                <w:rFonts w:ascii="Times New Roman" w:hAnsi="Times New Roman"/>
                <w:b/>
                <w:color w:val="000000"/>
                <w:szCs w:val="18"/>
                <w:lang w:val="en-GB"/>
              </w:rPr>
            </w:pPr>
            <w:r>
              <w:rPr>
                <w:rFonts w:ascii="Times New Roman" w:hAnsi="Times New Roman" w:eastAsia="MS Mincho"/>
                <w:color w:val="000000"/>
                <w:szCs w:val="18"/>
                <w:lang w:val="en-GB" w:eastAsia="ja-JP"/>
              </w:rPr>
              <w:t>(6,2)</w:t>
            </w:r>
          </w:p>
        </w:tc>
        <w:tc>
          <w:tcPr>
            <w:tcW w:w="1550" w:type="pct"/>
            <w:tcBorders>
              <w:top w:val="single" w:color="4F81BD" w:sz="8" w:space="0"/>
              <w:left w:val="dotted" w:color="auto" w:sz="8" w:space="0"/>
              <w:bottom w:val="single" w:color="4F81BD" w:sz="8" w:space="0"/>
              <w:right w:val="single" w:color="4F81BD" w:sz="8" w:space="0"/>
            </w:tcBorders>
            <w:shd w:val="clear" w:color="auto" w:fill="E9EDF4"/>
          </w:tcPr>
          <w:p>
            <w:pPr>
              <w:pStyle w:val="53"/>
              <w:snapToGrid w:val="0"/>
              <w:spacing w:before="0" w:beforeLines="0" w:after="0" w:afterLines="0"/>
              <w:rPr>
                <w:rFonts w:ascii="Times New Roman" w:hAnsi="Times New Roman"/>
                <w:b/>
                <w:color w:val="000000"/>
                <w:szCs w:val="18"/>
                <w:lang w:val="en-GB"/>
              </w:rPr>
            </w:pPr>
            <w:r>
              <w:rPr>
                <w:rFonts w:ascii="Times New Roman" w:hAnsi="Times New Roman" w:eastAsia="MS Mincho"/>
                <w:color w:val="000000"/>
                <w:szCs w:val="18"/>
                <w:lang w:val="en-GB" w:eastAsia="ja-JP"/>
              </w:rPr>
              <w:t>(4,4)</w:t>
            </w:r>
          </w:p>
        </w:tc>
      </w:tr>
      <w:tr>
        <w:trPr>
          <w:cantSplit/>
          <w:trHeight w:val="90" w:hRule="atLeast"/>
          <w:jc w:val="center"/>
        </w:trPr>
        <w:tc>
          <w:tcPr>
            <w:tcW w:w="1898" w:type="pct"/>
            <w:vMerge w:val="continue"/>
            <w:tcBorders>
              <w:top w:val="single" w:color="4F81BD" w:sz="8" w:space="0"/>
              <w:left w:val="single" w:color="4F81BD" w:sz="8" w:space="0"/>
              <w:bottom w:val="single" w:color="4F81BD" w:sz="8" w:space="0"/>
              <w:right w:val="dotted" w:color="auto" w:sz="8" w:space="0"/>
            </w:tcBorders>
            <w:shd w:val="clear" w:color="auto" w:fill="FFFFFF"/>
            <w:vAlign w:val="center"/>
          </w:tcPr>
          <w:p>
            <w:pPr>
              <w:pStyle w:val="53"/>
              <w:snapToGrid w:val="0"/>
              <w:spacing w:before="0" w:beforeLines="0" w:after="0" w:afterLines="0"/>
              <w:rPr>
                <w:rFonts w:ascii="Times New Roman" w:hAnsi="Times New Roman"/>
                <w:color w:val="000000"/>
                <w:szCs w:val="18"/>
                <w:lang w:val="en-GB"/>
              </w:rPr>
            </w:pPr>
          </w:p>
        </w:tc>
        <w:tc>
          <w:tcPr>
            <w:tcW w:w="1550" w:type="pct"/>
            <w:tcBorders>
              <w:top w:val="single" w:color="4F81BD" w:sz="8" w:space="0"/>
              <w:left w:val="dotted" w:color="auto" w:sz="8" w:space="0"/>
              <w:bottom w:val="single" w:color="4F81BD" w:sz="8" w:space="0"/>
              <w:right w:val="dotted" w:color="auto" w:sz="8" w:space="0"/>
            </w:tcBorders>
            <w:shd w:val="clear" w:color="auto" w:fill="FFFFFF"/>
          </w:tcPr>
          <w:p>
            <w:pPr>
              <w:pStyle w:val="53"/>
              <w:snapToGrid w:val="0"/>
              <w:spacing w:before="0" w:beforeLines="0" w:after="0" w:afterLines="0"/>
              <w:rPr>
                <w:rFonts w:ascii="Times New Roman" w:hAnsi="Times New Roman"/>
                <w:b/>
                <w:color w:val="000000"/>
                <w:szCs w:val="18"/>
                <w:lang w:val="en-GB"/>
              </w:rPr>
            </w:pPr>
            <w:r>
              <w:rPr>
                <w:rFonts w:ascii="Times New Roman" w:hAnsi="Times New Roman" w:eastAsia="MS Mincho"/>
                <w:color w:val="000000"/>
                <w:szCs w:val="18"/>
                <w:lang w:val="en-GB" w:eastAsia="ja-JP"/>
              </w:rPr>
              <w:t>(12,1)</w:t>
            </w:r>
          </w:p>
        </w:tc>
        <w:tc>
          <w:tcPr>
            <w:tcW w:w="1550" w:type="pct"/>
            <w:tcBorders>
              <w:top w:val="single" w:color="4F81BD" w:sz="8" w:space="0"/>
              <w:left w:val="dotted" w:color="auto" w:sz="8" w:space="0"/>
              <w:bottom w:val="single" w:color="4F81BD" w:sz="8" w:space="0"/>
              <w:right w:val="single" w:color="4F81BD" w:sz="8" w:space="0"/>
            </w:tcBorders>
            <w:shd w:val="clear" w:color="auto" w:fill="FFFFFF"/>
          </w:tcPr>
          <w:p>
            <w:pPr>
              <w:pStyle w:val="53"/>
              <w:snapToGrid w:val="0"/>
              <w:spacing w:before="0" w:beforeLines="0" w:after="0" w:afterLines="0"/>
              <w:rPr>
                <w:rFonts w:ascii="Times New Roman" w:hAnsi="Times New Roman"/>
                <w:b/>
                <w:color w:val="000000"/>
                <w:szCs w:val="18"/>
                <w:lang w:val="en-GB"/>
              </w:rPr>
            </w:pPr>
            <w:r>
              <w:rPr>
                <w:rFonts w:ascii="Times New Roman" w:hAnsi="Times New Roman" w:eastAsia="MS Mincho"/>
                <w:color w:val="000000"/>
                <w:szCs w:val="18"/>
                <w:lang w:val="en-GB" w:eastAsia="ja-JP"/>
              </w:rPr>
              <w:t>(4,1)</w:t>
            </w:r>
          </w:p>
        </w:tc>
      </w:tr>
      <w:tr>
        <w:tblPrEx>
          <w:tblCellMar>
            <w:top w:w="0" w:type="dxa"/>
            <w:left w:w="108" w:type="dxa"/>
            <w:bottom w:w="0" w:type="dxa"/>
            <w:right w:w="108" w:type="dxa"/>
          </w:tblCellMar>
        </w:tblPrEx>
        <w:trPr>
          <w:cantSplit/>
          <w:trHeight w:val="90" w:hRule="atLeast"/>
          <w:jc w:val="center"/>
        </w:trPr>
        <w:tc>
          <w:tcPr>
            <w:tcW w:w="1898" w:type="pct"/>
            <w:vMerge w:val="restart"/>
            <w:tcBorders>
              <w:top w:val="single" w:color="4F81BD" w:sz="8" w:space="0"/>
              <w:left w:val="single" w:color="4F81BD" w:sz="8" w:space="0"/>
              <w:bottom w:val="single" w:color="4F81BD" w:sz="8" w:space="0"/>
              <w:right w:val="dotted" w:color="auto" w:sz="8" w:space="0"/>
            </w:tcBorders>
            <w:shd w:val="clear" w:color="auto" w:fill="E9EDF4"/>
            <w:vAlign w:val="center"/>
          </w:tcPr>
          <w:p>
            <w:pPr>
              <w:pStyle w:val="53"/>
              <w:snapToGrid w:val="0"/>
              <w:spacing w:before="0" w:beforeLines="0" w:after="0" w:afterLines="0"/>
              <w:rPr>
                <w:rFonts w:ascii="Times New Roman" w:hAnsi="Times New Roman"/>
                <w:color w:val="000000"/>
                <w:szCs w:val="18"/>
                <w:lang w:val="en-GB"/>
              </w:rPr>
            </w:pPr>
            <w:r>
              <w:rPr>
                <w:rFonts w:ascii="Times New Roman" w:hAnsi="Times New Roman"/>
                <w:color w:val="000000"/>
                <w:szCs w:val="18"/>
                <w:lang w:val="en-GB"/>
              </w:rPr>
              <w:t>32</w:t>
            </w:r>
          </w:p>
        </w:tc>
        <w:tc>
          <w:tcPr>
            <w:tcW w:w="1550" w:type="pct"/>
            <w:tcBorders>
              <w:top w:val="single" w:color="4F81BD" w:sz="8" w:space="0"/>
              <w:left w:val="dotted" w:color="auto" w:sz="8" w:space="0"/>
              <w:bottom w:val="single" w:color="4F81BD" w:sz="8" w:space="0"/>
              <w:right w:val="dotted" w:color="auto" w:sz="8" w:space="0"/>
            </w:tcBorders>
            <w:shd w:val="clear" w:color="auto" w:fill="E9EDF4"/>
          </w:tcPr>
          <w:p>
            <w:pPr>
              <w:pStyle w:val="53"/>
              <w:snapToGrid w:val="0"/>
              <w:spacing w:before="0" w:beforeLines="0" w:after="0" w:afterLines="0"/>
              <w:rPr>
                <w:rFonts w:ascii="Times New Roman" w:hAnsi="Times New Roman"/>
                <w:b/>
                <w:color w:val="000000"/>
                <w:szCs w:val="18"/>
                <w:lang w:val="en-GB"/>
              </w:rPr>
            </w:pPr>
            <w:r>
              <w:rPr>
                <w:rFonts w:ascii="Times New Roman" w:hAnsi="Times New Roman" w:eastAsia="MS Mincho"/>
                <w:color w:val="000000"/>
                <w:szCs w:val="18"/>
                <w:lang w:val="en-GB" w:eastAsia="ja-JP"/>
              </w:rPr>
              <w:t>(4,4)</w:t>
            </w:r>
          </w:p>
        </w:tc>
        <w:tc>
          <w:tcPr>
            <w:tcW w:w="1550" w:type="pct"/>
            <w:tcBorders>
              <w:top w:val="single" w:color="4F81BD" w:sz="8" w:space="0"/>
              <w:left w:val="dotted" w:color="auto" w:sz="8" w:space="0"/>
              <w:bottom w:val="single" w:color="4F81BD" w:sz="8" w:space="0"/>
              <w:right w:val="single" w:color="4F81BD" w:sz="8" w:space="0"/>
            </w:tcBorders>
            <w:shd w:val="clear" w:color="auto" w:fill="E9EDF4"/>
          </w:tcPr>
          <w:p>
            <w:pPr>
              <w:pStyle w:val="53"/>
              <w:snapToGrid w:val="0"/>
              <w:spacing w:before="0" w:beforeLines="0" w:after="0" w:afterLines="0"/>
              <w:rPr>
                <w:rFonts w:ascii="Times New Roman" w:hAnsi="Times New Roman"/>
                <w:b/>
                <w:color w:val="000000"/>
                <w:szCs w:val="18"/>
                <w:lang w:val="en-GB"/>
              </w:rPr>
            </w:pPr>
            <w:r>
              <w:rPr>
                <w:rFonts w:ascii="Times New Roman" w:hAnsi="Times New Roman" w:eastAsia="MS Mincho"/>
                <w:color w:val="000000"/>
                <w:szCs w:val="18"/>
                <w:lang w:val="en-GB" w:eastAsia="ja-JP"/>
              </w:rPr>
              <w:t>(4,4)</w:t>
            </w:r>
          </w:p>
        </w:tc>
      </w:tr>
      <w:tr>
        <w:tblPrEx>
          <w:tblCellMar>
            <w:top w:w="0" w:type="dxa"/>
            <w:left w:w="108" w:type="dxa"/>
            <w:bottom w:w="0" w:type="dxa"/>
            <w:right w:w="108" w:type="dxa"/>
          </w:tblCellMar>
        </w:tblPrEx>
        <w:trPr>
          <w:cantSplit/>
          <w:trHeight w:val="90" w:hRule="atLeast"/>
          <w:jc w:val="center"/>
        </w:trPr>
        <w:tc>
          <w:tcPr>
            <w:tcW w:w="1898" w:type="pct"/>
            <w:vMerge w:val="continue"/>
            <w:tcBorders>
              <w:top w:val="single" w:color="4F81BD" w:sz="8" w:space="0"/>
              <w:left w:val="single" w:color="4F81BD" w:sz="8" w:space="0"/>
              <w:bottom w:val="single" w:color="4F81BD" w:sz="8" w:space="0"/>
              <w:right w:val="dotted" w:color="auto" w:sz="8" w:space="0"/>
            </w:tcBorders>
            <w:shd w:val="clear" w:color="auto" w:fill="FFFFFF"/>
            <w:vAlign w:val="center"/>
          </w:tcPr>
          <w:p>
            <w:pPr>
              <w:pStyle w:val="53"/>
              <w:snapToGrid w:val="0"/>
              <w:spacing w:before="0" w:beforeLines="0" w:after="0" w:afterLines="0"/>
              <w:rPr>
                <w:rFonts w:ascii="Times New Roman" w:hAnsi="Times New Roman"/>
                <w:color w:val="000000"/>
                <w:szCs w:val="18"/>
                <w:lang w:val="en-GB"/>
              </w:rPr>
            </w:pPr>
          </w:p>
        </w:tc>
        <w:tc>
          <w:tcPr>
            <w:tcW w:w="1550" w:type="pct"/>
            <w:tcBorders>
              <w:top w:val="single" w:color="4F81BD" w:sz="8" w:space="0"/>
              <w:left w:val="dotted" w:color="auto" w:sz="8" w:space="0"/>
              <w:bottom w:val="single" w:color="4F81BD" w:sz="8" w:space="0"/>
              <w:right w:val="dotted" w:color="auto" w:sz="8" w:space="0"/>
            </w:tcBorders>
            <w:shd w:val="clear" w:color="auto" w:fill="FFFFFF"/>
          </w:tcPr>
          <w:p>
            <w:pPr>
              <w:pStyle w:val="53"/>
              <w:snapToGrid w:val="0"/>
              <w:spacing w:before="0" w:beforeLines="0" w:after="0" w:afterLines="0"/>
              <w:rPr>
                <w:rFonts w:ascii="Times New Roman" w:hAnsi="Times New Roman"/>
                <w:b/>
                <w:color w:val="000000"/>
                <w:szCs w:val="18"/>
                <w:lang w:val="en-GB"/>
              </w:rPr>
            </w:pPr>
            <w:r>
              <w:rPr>
                <w:rFonts w:ascii="Times New Roman" w:hAnsi="Times New Roman" w:eastAsia="MS Mincho"/>
                <w:color w:val="000000"/>
                <w:szCs w:val="18"/>
                <w:lang w:val="en-GB" w:eastAsia="ja-JP"/>
              </w:rPr>
              <w:t>(8,2)</w:t>
            </w:r>
          </w:p>
        </w:tc>
        <w:tc>
          <w:tcPr>
            <w:tcW w:w="1550" w:type="pct"/>
            <w:tcBorders>
              <w:top w:val="single" w:color="4F81BD" w:sz="8" w:space="0"/>
              <w:left w:val="dotted" w:color="auto" w:sz="8" w:space="0"/>
              <w:bottom w:val="single" w:color="4F81BD" w:sz="8" w:space="0"/>
              <w:right w:val="single" w:color="4F81BD" w:sz="8" w:space="0"/>
            </w:tcBorders>
            <w:shd w:val="clear" w:color="auto" w:fill="FFFFFF"/>
          </w:tcPr>
          <w:p>
            <w:pPr>
              <w:pStyle w:val="53"/>
              <w:snapToGrid w:val="0"/>
              <w:spacing w:before="0" w:beforeLines="0" w:after="0" w:afterLines="0"/>
              <w:rPr>
                <w:rFonts w:ascii="Times New Roman" w:hAnsi="Times New Roman"/>
                <w:b/>
                <w:color w:val="000000"/>
                <w:szCs w:val="18"/>
                <w:lang w:val="en-GB"/>
              </w:rPr>
            </w:pPr>
            <w:r>
              <w:rPr>
                <w:rFonts w:ascii="Times New Roman" w:hAnsi="Times New Roman" w:eastAsia="MS Mincho"/>
                <w:color w:val="000000"/>
                <w:szCs w:val="18"/>
                <w:lang w:val="en-GB" w:eastAsia="ja-JP"/>
              </w:rPr>
              <w:t>(4,4)</w:t>
            </w:r>
          </w:p>
        </w:tc>
      </w:tr>
      <w:tr>
        <w:tblPrEx>
          <w:tblCellMar>
            <w:top w:w="0" w:type="dxa"/>
            <w:left w:w="108" w:type="dxa"/>
            <w:bottom w:w="0" w:type="dxa"/>
            <w:right w:w="108" w:type="dxa"/>
          </w:tblCellMar>
        </w:tblPrEx>
        <w:trPr>
          <w:cantSplit/>
          <w:trHeight w:val="90" w:hRule="atLeast"/>
          <w:jc w:val="center"/>
        </w:trPr>
        <w:tc>
          <w:tcPr>
            <w:tcW w:w="1898" w:type="pct"/>
            <w:vMerge w:val="continue"/>
            <w:tcBorders>
              <w:top w:val="single" w:color="4F81BD" w:sz="8" w:space="0"/>
              <w:left w:val="single" w:color="4F81BD" w:sz="8" w:space="0"/>
              <w:bottom w:val="single" w:color="4F81BD" w:sz="8" w:space="0"/>
              <w:right w:val="dotted" w:color="auto" w:sz="8" w:space="0"/>
            </w:tcBorders>
            <w:shd w:val="clear" w:color="auto" w:fill="E9EDF4"/>
            <w:vAlign w:val="center"/>
          </w:tcPr>
          <w:p>
            <w:pPr>
              <w:pStyle w:val="53"/>
              <w:snapToGrid w:val="0"/>
              <w:spacing w:before="0" w:beforeLines="0" w:after="0" w:afterLines="0"/>
              <w:rPr>
                <w:rFonts w:ascii="Times New Roman" w:hAnsi="Times New Roman"/>
                <w:color w:val="000000"/>
                <w:szCs w:val="18"/>
                <w:lang w:val="en-GB"/>
              </w:rPr>
            </w:pPr>
          </w:p>
        </w:tc>
        <w:tc>
          <w:tcPr>
            <w:tcW w:w="1550" w:type="pct"/>
            <w:tcBorders>
              <w:top w:val="single" w:color="4F81BD" w:sz="8" w:space="0"/>
              <w:left w:val="dotted" w:color="auto" w:sz="8" w:space="0"/>
              <w:bottom w:val="single" w:color="4F81BD" w:sz="8" w:space="0"/>
              <w:right w:val="dotted" w:color="auto" w:sz="8" w:space="0"/>
            </w:tcBorders>
            <w:shd w:val="clear" w:color="auto" w:fill="E9EDF4"/>
          </w:tcPr>
          <w:p>
            <w:pPr>
              <w:pStyle w:val="53"/>
              <w:snapToGrid w:val="0"/>
              <w:spacing w:before="0" w:beforeLines="0" w:after="0" w:afterLines="0"/>
              <w:rPr>
                <w:rFonts w:ascii="Times New Roman" w:hAnsi="Times New Roman"/>
                <w:b/>
                <w:color w:val="000000"/>
                <w:szCs w:val="18"/>
                <w:lang w:val="en-GB"/>
              </w:rPr>
            </w:pPr>
            <w:r>
              <w:rPr>
                <w:rFonts w:ascii="Times New Roman" w:hAnsi="Times New Roman" w:eastAsia="MS Mincho"/>
                <w:color w:val="000000"/>
                <w:szCs w:val="18"/>
                <w:lang w:val="en-GB" w:eastAsia="ja-JP"/>
              </w:rPr>
              <w:t>(16,1)</w:t>
            </w:r>
          </w:p>
        </w:tc>
        <w:tc>
          <w:tcPr>
            <w:tcW w:w="1550" w:type="pct"/>
            <w:tcBorders>
              <w:top w:val="single" w:color="4F81BD" w:sz="8" w:space="0"/>
              <w:left w:val="dotted" w:color="auto" w:sz="8" w:space="0"/>
              <w:bottom w:val="single" w:color="4F81BD" w:sz="8" w:space="0"/>
              <w:right w:val="single" w:color="4F81BD" w:sz="8" w:space="0"/>
            </w:tcBorders>
            <w:shd w:val="clear" w:color="auto" w:fill="E9EDF4"/>
          </w:tcPr>
          <w:p>
            <w:pPr>
              <w:pStyle w:val="53"/>
              <w:snapToGrid w:val="0"/>
              <w:spacing w:before="0" w:beforeLines="0" w:after="0" w:afterLines="0"/>
              <w:rPr>
                <w:rFonts w:ascii="Times New Roman" w:hAnsi="Times New Roman"/>
                <w:b/>
                <w:color w:val="000000"/>
                <w:szCs w:val="18"/>
                <w:lang w:val="en-GB"/>
              </w:rPr>
            </w:pPr>
            <w:r>
              <w:rPr>
                <w:rFonts w:ascii="Times New Roman" w:hAnsi="Times New Roman" w:eastAsia="MS Mincho"/>
                <w:color w:val="000000"/>
                <w:szCs w:val="18"/>
                <w:lang w:val="en-GB" w:eastAsia="ja-JP"/>
              </w:rPr>
              <w:t>(4,1)</w:t>
            </w:r>
          </w:p>
        </w:tc>
      </w:tr>
    </w:tbl>
    <w:p>
      <w:pPr>
        <w:spacing w:before="120" w:after="120"/>
        <w:rPr>
          <w:color w:val="000000"/>
        </w:rPr>
      </w:pPr>
      <w:r>
        <w:rPr>
          <w:rFonts w:hint="eastAsia"/>
          <w:color w:val="000000"/>
        </w:rPr>
        <w:t>The supported configurations of (N1,</w:t>
      </w:r>
      <w:r>
        <w:rPr>
          <w:color w:val="000000"/>
        </w:rPr>
        <w:t xml:space="preserve"> </w:t>
      </w:r>
      <w:r>
        <w:rPr>
          <w:rFonts w:hint="eastAsia"/>
          <w:color w:val="000000"/>
        </w:rPr>
        <w:t xml:space="preserve">N2) are shown in Table 6. </w:t>
      </w:r>
      <w:r>
        <w:rPr>
          <w:color w:val="000000"/>
        </w:rPr>
        <w:t>We</w:t>
      </w:r>
      <w:r>
        <w:rPr>
          <w:rFonts w:hint="eastAsia"/>
          <w:color w:val="000000"/>
        </w:rPr>
        <w:t xml:space="preserve"> should make sure that the selected ports satisf</w:t>
      </w:r>
      <w:r>
        <w:rPr>
          <w:color w:val="000000"/>
        </w:rPr>
        <w:t>y</w:t>
      </w:r>
      <w:r>
        <w:rPr>
          <w:rFonts w:hint="eastAsia"/>
          <w:color w:val="000000"/>
        </w:rPr>
        <w:t xml:space="preserve"> one of the supported (N1,</w:t>
      </w:r>
      <w:r>
        <w:rPr>
          <w:color w:val="000000"/>
        </w:rPr>
        <w:t xml:space="preserve"> </w:t>
      </w:r>
      <w:r>
        <w:rPr>
          <w:rFonts w:hint="eastAsia"/>
          <w:color w:val="000000"/>
        </w:rPr>
        <w:t>N2).</w:t>
      </w:r>
    </w:p>
    <w:p>
      <w:pPr>
        <w:spacing w:before="120" w:after="120"/>
      </w:pPr>
      <w:r>
        <w:rPr>
          <w:rFonts w:hint="eastAsia"/>
          <w:color w:val="000000"/>
        </w:rPr>
        <w:t xml:space="preserve">Moreover, the codebook design in TS 38.214 also should be considered. </w:t>
      </w:r>
      <w:r>
        <w:rPr>
          <w:rFonts w:hint="eastAsia"/>
        </w:rPr>
        <w:t>According to the structure of the precoding matrix, there are two ty</w:t>
      </w:r>
      <w:r>
        <w:t>pes of PMI</w:t>
      </w:r>
      <w:r>
        <w:rPr>
          <w:rFonts w:hint="eastAsia"/>
        </w:rPr>
        <w:t>, one</w:t>
      </w:r>
      <w:r>
        <w:t xml:space="preserve"> (which is composed of four parts)</w:t>
      </w:r>
      <w:r>
        <w:rPr>
          <w:rFonts w:hint="eastAsia"/>
        </w:rPr>
        <w:t xml:space="preserve"> is used when </w:t>
      </w:r>
      <w:r>
        <w:t xml:space="preserve">number of layers is three or four, and </w:t>
      </w:r>
      <w:r>
        <w:rPr>
          <w:rFonts w:hint="eastAsia"/>
        </w:rPr>
        <w:t>number of ports</w:t>
      </w:r>
      <w:r>
        <w:t xml:space="preserve"> </w:t>
      </w:r>
      <w:r>
        <w:rPr>
          <w:rFonts w:hint="eastAsia"/>
        </w:rPr>
        <w:t>(</w:t>
      </w:r>
      <w:r>
        <w:rPr>
          <w:i/>
          <w:iCs/>
        </w:rPr>
        <w:t>P</w:t>
      </w:r>
      <w:r>
        <w:rPr>
          <w:i/>
          <w:iCs/>
          <w:vertAlign w:val="subscript"/>
        </w:rPr>
        <w:t>CSI-RS</w:t>
      </w:r>
      <w:r>
        <w:rPr>
          <w:rFonts w:hint="eastAsia"/>
        </w:rPr>
        <w:t>)</w:t>
      </w:r>
      <w:r>
        <w:t xml:space="preserve"> is not less than 16</w:t>
      </w:r>
      <w:r>
        <w:rPr>
          <w:rFonts w:hint="eastAsia"/>
        </w:rPr>
        <w:t>, and one</w:t>
      </w:r>
      <w:r>
        <w:t xml:space="preserve"> (which is composed of two parts)</w:t>
      </w:r>
      <w:r>
        <w:rPr>
          <w:rFonts w:hint="eastAsia"/>
        </w:rPr>
        <w:t xml:space="preserve"> is used for others. The derived precoding matrix</w:t>
      </w:r>
      <w:r>
        <w:t xml:space="preserve"> with smaller number of CSI-RS ports</w:t>
      </w:r>
      <w:r>
        <w:rPr>
          <w:rFonts w:hint="eastAsia"/>
        </w:rPr>
        <w:t xml:space="preserve"> should also follow these structures. Otherwise, the correlation between the derived precoding matrix and the real precoding matrix will </w:t>
      </w:r>
      <w:r>
        <w:t>poor</w:t>
      </w:r>
      <w:r>
        <w:rPr>
          <w:rFonts w:hint="eastAsia"/>
        </w:rPr>
        <w:t>, and the system performance will be seriously impacted.</w:t>
      </w:r>
    </w:p>
    <w:p>
      <w:pPr>
        <w:spacing w:before="120" w:after="120"/>
        <w:rPr>
          <w:rFonts w:cs="Arial"/>
          <w:strike/>
        </w:rPr>
      </w:pPr>
      <w:r>
        <w:rPr>
          <w:rFonts w:hint="eastAsia"/>
        </w:rPr>
        <w:t xml:space="preserve">For </w:t>
      </w:r>
      <w:r>
        <w:t>example, if the codebookType is set to ‘typeI</w:t>
      </w:r>
      <w:r>
        <w:rPr>
          <w:rFonts w:hint="eastAsia"/>
        </w:rPr>
        <w:t>-</w:t>
      </w:r>
      <w:r>
        <w:t xml:space="preserve">SinglePanel’ the number of layers is three or four, and </w:t>
      </w:r>
      <w:r>
        <w:rPr>
          <w:rFonts w:hint="eastAsia"/>
        </w:rPr>
        <w:t>number of ports</w:t>
      </w:r>
      <w:r>
        <w:t xml:space="preserve"> </w:t>
      </w:r>
      <w:r>
        <w:rPr>
          <w:rFonts w:hint="eastAsia"/>
        </w:rPr>
        <w:t>(</w:t>
      </w:r>
      <w:r>
        <w:rPr>
          <w:i/>
          <w:iCs/>
        </w:rPr>
        <w:t>P</w:t>
      </w:r>
      <w:r>
        <w:rPr>
          <w:i/>
          <w:iCs/>
          <w:vertAlign w:val="subscript"/>
        </w:rPr>
        <w:t>CSI-RS</w:t>
      </w:r>
      <w:r>
        <w:rPr>
          <w:rFonts w:hint="eastAsia"/>
        </w:rPr>
        <w:t>)</w:t>
      </w:r>
      <w:r>
        <w:t xml:space="preserve"> is not less than 16, the </w:t>
      </w:r>
      <w:r>
        <w:rPr>
          <w:rFonts w:hint="eastAsia"/>
        </w:rPr>
        <w:t>precoding matrix</w:t>
      </w:r>
      <w:r>
        <w:t xml:space="preserve"> is: </w:t>
      </w:r>
      <w:r>
        <w:rPr>
          <w:rFonts w:hint="eastAsia"/>
          <w:color w:val="000000"/>
          <w:position w:val="-58"/>
        </w:rPr>
        <w:object>
          <v:shape id="_x0000_i1065" o:spt="75" type="#_x0000_t75" style="height:62.75pt;width:150pt;" o:ole="t" filled="f" o:preferrelative="t" stroked="f" coordsize="21600,21600">
            <v:path/>
            <v:fill on="f" focussize="0,0"/>
            <v:stroke on="f" joinstyle="miter"/>
            <v:imagedata r:id="rId85" o:title=""/>
            <o:lock v:ext="edit" aspectratio="t"/>
            <w10:wrap type="none"/>
            <w10:anchorlock/>
          </v:shape>
          <o:OLEObject Type="Embed" ProgID="Equation.3" ShapeID="_x0000_i1065" DrawAspect="Content" ObjectID="_1468075765" r:id="rId84">
            <o:LockedField>false</o:LockedField>
          </o:OLEObject>
        </w:object>
      </w:r>
      <w:r>
        <w:t xml:space="preserve">, where L is the number of layer, the number of rows in </w:t>
      </w:r>
      <w:r>
        <w:rPr>
          <w:rFonts w:hint="eastAsia"/>
        </w:rPr>
        <w:t>precoding matrix</w:t>
      </w:r>
      <w:r>
        <w:t xml:space="preserve"> is same as P</w:t>
      </w:r>
      <w:r>
        <w:rPr>
          <w:vertAlign w:val="subscript"/>
        </w:rPr>
        <w:t>CSI-RS</w:t>
      </w:r>
      <w:r>
        <w:t xml:space="preserve">, the number of columns in </w:t>
      </w:r>
      <w:r>
        <w:rPr>
          <w:rFonts w:hint="eastAsia"/>
        </w:rPr>
        <w:t>precoding matrix</w:t>
      </w:r>
      <w:r>
        <w:t xml:space="preserve"> is equal to the number of layers. The </w:t>
      </w:r>
      <w:r>
        <w:rPr>
          <w:rFonts w:hint="eastAsia"/>
        </w:rPr>
        <w:t>precoding matrix</w:t>
      </w:r>
      <w:r>
        <w:t xml:space="preserve"> includes four parts</w:t>
      </w:r>
      <w:r>
        <w:rPr>
          <w:rFonts w:cs="Arial"/>
          <w:iCs/>
          <w:lang w:eastAsia="en-US"/>
        </w:rPr>
        <w:t>, where</w:t>
      </w:r>
      <w:r>
        <w:rPr>
          <w:rFonts w:hint="eastAsia" w:cs="Arial"/>
          <w:iCs/>
        </w:rPr>
        <w:t xml:space="preserve"> </w:t>
      </w:r>
      <w:r>
        <w:rPr>
          <w:rFonts w:cs="Arial"/>
        </w:rPr>
        <w:t>t</w:t>
      </w:r>
      <w:r>
        <w:rPr>
          <w:rFonts w:cs="Arial"/>
          <w:lang w:eastAsia="en-US"/>
        </w:rPr>
        <w:t>he first two parts correspond to one polarization direction and the last two parts correspond to another polarization direction</w:t>
      </w:r>
      <w:r>
        <w:rPr>
          <w:rFonts w:hint="eastAsia" w:cs="Arial"/>
        </w:rPr>
        <w:t>.</w:t>
      </w:r>
    </w:p>
    <w:p>
      <w:pPr>
        <w:spacing w:before="120" w:after="120"/>
      </w:pPr>
      <w:r>
        <w:t xml:space="preserve">We further </w:t>
      </w:r>
      <w:r>
        <w:rPr>
          <w:rFonts w:hint="eastAsia"/>
        </w:rPr>
        <w:t>provide</w:t>
      </w:r>
      <w:r>
        <w:t xml:space="preserve"> some</w:t>
      </w:r>
      <w:r>
        <w:rPr>
          <w:rFonts w:hint="eastAsia"/>
        </w:rPr>
        <w:t xml:space="preserve"> simulation results of correlation between two precoding matrices, wherein one precoding matrix (e.g., 16 ports) is derived by a precoding matrix with larger number of ports</w:t>
      </w:r>
      <w:r>
        <w:t xml:space="preserve"> </w:t>
      </w:r>
      <w:r>
        <w:rPr>
          <w:rFonts w:hint="eastAsia"/>
        </w:rPr>
        <w:t>(e.g., 32 ports) and another precoding matrix is the real precoding matrix with smaller number of ports</w:t>
      </w:r>
      <w:r>
        <w:t xml:space="preserve"> </w:t>
      </w:r>
      <w:r>
        <w:rPr>
          <w:rFonts w:hint="eastAsia"/>
        </w:rPr>
        <w:t xml:space="preserve">(e.g, 16 ports). The rank is fixed in </w:t>
      </w:r>
      <w:r>
        <w:t>the</w:t>
      </w:r>
      <w:r>
        <w:rPr>
          <w:rFonts w:hint="eastAsia"/>
        </w:rPr>
        <w:t xml:space="preserve"> simulation</w:t>
      </w:r>
      <w:r>
        <w:t xml:space="preserve"> for the sake of simplification</w:t>
      </w:r>
      <w:r>
        <w:rPr>
          <w:rFonts w:hint="eastAsia"/>
        </w:rPr>
        <w:t>.</w:t>
      </w:r>
    </w:p>
    <w:p>
      <w:pPr>
        <w:spacing w:before="120" w:after="120"/>
      </w:pPr>
      <w:r>
        <w:rPr>
          <w:rFonts w:hint="eastAsia"/>
        </w:rPr>
        <w:t>D</w:t>
      </w:r>
      <w:r>
        <w:t xml:space="preserve">ifferent from the muting pattern in Figure 2 in section 4.1.1, the muting pattern of gNB antenna configuration adaptation from </w:t>
      </w:r>
      <w:r>
        <w:rPr>
          <w:rFonts w:hint="eastAsia"/>
        </w:rPr>
        <w:t>32 ports</w:t>
      </w:r>
      <w:r>
        <w:t xml:space="preserve"> to</w:t>
      </w:r>
      <w:r>
        <w:rPr>
          <w:rFonts w:hint="eastAsia"/>
        </w:rPr>
        <w:t xml:space="preserve"> 16 ports </w:t>
      </w:r>
      <w:r>
        <w:t>in this section is shown in Figure 7</w:t>
      </w:r>
      <w:r>
        <w:rPr>
          <w:rFonts w:hint="eastAsia"/>
        </w:rPr>
        <w:t>.</w:t>
      </w:r>
    </w:p>
    <w:p>
      <w:pPr>
        <w:spacing w:before="120" w:after="120"/>
        <w:jc w:val="center"/>
      </w:pPr>
      <w:r>
        <w:drawing>
          <wp:inline distT="0" distB="0" distL="0" distR="0">
            <wp:extent cx="3100070" cy="869315"/>
            <wp:effectExtent l="0" t="0" r="5080" b="6985"/>
            <wp:docPr id="75"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73"/>
                    <pic:cNvPicPr>
                      <a:picLocks noChangeAspect="1"/>
                    </pic:cNvPicPr>
                  </pic:nvPicPr>
                  <pic:blipFill>
                    <a:blip r:embed="rId86"/>
                    <a:stretch>
                      <a:fillRect/>
                    </a:stretch>
                  </pic:blipFill>
                  <pic:spPr>
                    <a:xfrm>
                      <a:off x="0" y="0"/>
                      <a:ext cx="3100070" cy="869315"/>
                    </a:xfrm>
                    <a:prstGeom prst="rect">
                      <a:avLst/>
                    </a:prstGeom>
                    <a:noFill/>
                    <a:ln>
                      <a:noFill/>
                    </a:ln>
                  </pic:spPr>
                </pic:pic>
              </a:graphicData>
            </a:graphic>
          </wp:inline>
        </w:drawing>
      </w:r>
    </w:p>
    <w:p>
      <w:pPr>
        <w:spacing w:before="120" w:after="120"/>
        <w:jc w:val="center"/>
      </w:pPr>
      <w:r>
        <w:rPr>
          <w:rFonts w:hint="eastAsia"/>
        </w:rPr>
        <w:t xml:space="preserve">Figure </w:t>
      </w:r>
      <w:r>
        <w:t>7</w:t>
      </w:r>
      <w:r>
        <w:rPr>
          <w:rFonts w:hint="eastAsia"/>
        </w:rPr>
        <w:t xml:space="preserve"> </w:t>
      </w:r>
      <w:r>
        <w:rPr>
          <w:rFonts w:hint="eastAsia"/>
          <w:color w:val="000000"/>
        </w:rPr>
        <w:t>Antenna</w:t>
      </w:r>
      <w:r>
        <w:rPr>
          <w:color w:val="000000"/>
        </w:rPr>
        <w:t xml:space="preserve"> </w:t>
      </w:r>
      <w:r>
        <w:t>muting</w:t>
      </w:r>
      <w:r>
        <w:rPr>
          <w:rFonts w:hint="eastAsia"/>
          <w:color w:val="000000"/>
        </w:rPr>
        <w:t xml:space="preserve"> pattern</w:t>
      </w:r>
      <w:r>
        <w:rPr>
          <w:color w:val="000000"/>
        </w:rPr>
        <w:t xml:space="preserve"> 3: adaptation from </w:t>
      </w:r>
      <w:r>
        <w:rPr>
          <w:rFonts w:hint="eastAsia"/>
        </w:rPr>
        <w:t>32 ports</w:t>
      </w:r>
      <w:r>
        <w:t xml:space="preserve"> to 16 </w:t>
      </w:r>
      <w:r>
        <w:rPr>
          <w:rFonts w:hint="eastAsia"/>
        </w:rPr>
        <w:t>ports</w:t>
      </w:r>
    </w:p>
    <w:p>
      <w:pPr>
        <w:spacing w:before="120" w:after="120"/>
      </w:pPr>
      <w:r>
        <w:rPr>
          <w:rFonts w:hint="eastAsia"/>
        </w:rPr>
        <w:t>In</w:t>
      </w:r>
      <w:r>
        <w:t xml:space="preserve"> </w:t>
      </w:r>
      <w:r>
        <w:rPr>
          <w:rFonts w:hint="eastAsia"/>
        </w:rPr>
        <w:t>this</w:t>
      </w:r>
      <w:r>
        <w:t xml:space="preserve"> </w:t>
      </w:r>
      <w:r>
        <w:rPr>
          <w:rFonts w:hint="eastAsia"/>
        </w:rPr>
        <w:t>eval</w:t>
      </w:r>
      <w:r>
        <w:t>uation, t</w:t>
      </w:r>
      <w:r>
        <w:rPr>
          <w:rFonts w:hint="eastAsia"/>
        </w:rPr>
        <w:t xml:space="preserve">he derived precoding matrix does not follow the structures used when </w:t>
      </w:r>
      <w:r>
        <w:t xml:space="preserve">number of layers is three or four, and </w:t>
      </w:r>
      <w:r>
        <w:rPr>
          <w:rFonts w:hint="eastAsia"/>
        </w:rPr>
        <w:t>number of ports</w:t>
      </w:r>
      <w:r>
        <w:t xml:space="preserve"> </w:t>
      </w:r>
      <w:r>
        <w:rPr>
          <w:rFonts w:hint="eastAsia"/>
        </w:rPr>
        <w:t>(</w:t>
      </w:r>
      <w:r>
        <w:rPr>
          <w:i/>
          <w:iCs/>
        </w:rPr>
        <w:t>P</w:t>
      </w:r>
      <w:r>
        <w:rPr>
          <w:i/>
          <w:iCs/>
          <w:vertAlign w:val="subscript"/>
        </w:rPr>
        <w:t>CSI-RS</w:t>
      </w:r>
      <w:r>
        <w:rPr>
          <w:rFonts w:hint="eastAsia"/>
        </w:rPr>
        <w:t>)</w:t>
      </w:r>
      <w:r>
        <w:t xml:space="preserve"> is not less than 16</w:t>
      </w:r>
      <w:r>
        <w:rPr>
          <w:rFonts w:hint="eastAsia"/>
        </w:rPr>
        <w:t>.</w:t>
      </w:r>
    </w:p>
    <w:tbl>
      <w:tblPr>
        <w:tblStyle w:val="1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830"/>
        <w:gridCol w:w="48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830" w:type="dxa"/>
            <w:vAlign w:val="center"/>
          </w:tcPr>
          <w:p>
            <w:pPr>
              <w:pStyle w:val="16"/>
              <w:spacing w:before="120" w:after="120"/>
              <w:jc w:val="center"/>
              <w:rPr>
                <w:kern w:val="2"/>
                <w:sz w:val="18"/>
                <w:szCs w:val="16"/>
              </w:rPr>
            </w:pPr>
            <w:r>
              <w:drawing>
                <wp:inline distT="0" distB="0" distL="114300" distR="114300">
                  <wp:extent cx="2881630" cy="2160270"/>
                  <wp:effectExtent l="0" t="0" r="0" b="0"/>
                  <wp:docPr id="44"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50"/>
                          <pic:cNvPicPr>
                            <a:picLocks noChangeAspect="1"/>
                          </pic:cNvPicPr>
                        </pic:nvPicPr>
                        <pic:blipFill>
                          <a:blip r:embed="rId87"/>
                          <a:stretch>
                            <a:fillRect/>
                          </a:stretch>
                        </pic:blipFill>
                        <pic:spPr>
                          <a:xfrm>
                            <a:off x="0" y="0"/>
                            <a:ext cx="2881630" cy="2160270"/>
                          </a:xfrm>
                          <a:prstGeom prst="rect">
                            <a:avLst/>
                          </a:prstGeom>
                          <a:noFill/>
                          <a:ln>
                            <a:noFill/>
                          </a:ln>
                        </pic:spPr>
                      </pic:pic>
                    </a:graphicData>
                  </a:graphic>
                </wp:inline>
              </w:drawing>
            </w:r>
          </w:p>
        </w:tc>
        <w:tc>
          <w:tcPr>
            <w:tcW w:w="4830" w:type="dxa"/>
            <w:vAlign w:val="center"/>
          </w:tcPr>
          <w:p>
            <w:pPr>
              <w:spacing w:before="120" w:after="120"/>
              <w:jc w:val="center"/>
              <w:rPr>
                <w:sz w:val="18"/>
                <w:szCs w:val="16"/>
              </w:rPr>
            </w:pPr>
            <w:r>
              <w:drawing>
                <wp:inline distT="0" distB="0" distL="114300" distR="114300">
                  <wp:extent cx="2955290" cy="2160270"/>
                  <wp:effectExtent l="0" t="0" r="0" b="0"/>
                  <wp:docPr id="45"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51"/>
                          <pic:cNvPicPr>
                            <a:picLocks noChangeAspect="1"/>
                          </pic:cNvPicPr>
                        </pic:nvPicPr>
                        <pic:blipFill>
                          <a:blip r:embed="rId88"/>
                          <a:stretch>
                            <a:fillRect/>
                          </a:stretch>
                        </pic:blipFill>
                        <pic:spPr>
                          <a:xfrm>
                            <a:off x="0" y="0"/>
                            <a:ext cx="2955290" cy="2160270"/>
                          </a:xfrm>
                          <a:prstGeom prst="rect">
                            <a:avLst/>
                          </a:prstGeom>
                          <a:noFill/>
                          <a:ln>
                            <a:noFill/>
                          </a:ln>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830" w:type="dxa"/>
            <w:vAlign w:val="center"/>
          </w:tcPr>
          <w:p>
            <w:pPr>
              <w:pStyle w:val="16"/>
              <w:spacing w:before="120" w:after="120"/>
              <w:jc w:val="center"/>
              <w:rPr>
                <w:kern w:val="2"/>
              </w:rPr>
            </w:pPr>
            <w:r>
              <w:rPr>
                <w:rFonts w:hint="eastAsia"/>
                <w:kern w:val="2"/>
                <w:sz w:val="18"/>
                <w:szCs w:val="16"/>
              </w:rPr>
              <w:t>(a) Rank = 3</w:t>
            </w:r>
          </w:p>
        </w:tc>
        <w:tc>
          <w:tcPr>
            <w:tcW w:w="4830" w:type="dxa"/>
            <w:vAlign w:val="center"/>
          </w:tcPr>
          <w:p>
            <w:pPr>
              <w:spacing w:before="120" w:after="120"/>
              <w:jc w:val="center"/>
            </w:pPr>
            <w:r>
              <w:rPr>
                <w:rFonts w:hint="eastAsia"/>
                <w:sz w:val="18"/>
                <w:szCs w:val="16"/>
              </w:rPr>
              <w:t>(b) Rank = 4</w:t>
            </w:r>
          </w:p>
        </w:tc>
      </w:tr>
    </w:tbl>
    <w:p>
      <w:pPr>
        <w:spacing w:before="120" w:after="120"/>
        <w:jc w:val="center"/>
      </w:pPr>
      <w:r>
        <w:rPr>
          <w:rFonts w:hint="eastAsia"/>
        </w:rPr>
        <w:t xml:space="preserve">Figure 8 </w:t>
      </w:r>
      <w:r>
        <w:rPr>
          <w:rFonts w:hint="eastAsia"/>
          <w:sz w:val="18"/>
          <w:szCs w:val="16"/>
        </w:rPr>
        <w:t>Correlation</w:t>
      </w:r>
      <w:r>
        <w:rPr>
          <w:sz w:val="18"/>
          <w:szCs w:val="16"/>
        </w:rPr>
        <w:t xml:space="preserve"> coefficient</w:t>
      </w:r>
      <w:r>
        <w:rPr>
          <w:rFonts w:hint="eastAsia"/>
          <w:sz w:val="18"/>
          <w:szCs w:val="16"/>
        </w:rPr>
        <w:t xml:space="preserve"> between 32 </w:t>
      </w:r>
      <w:r>
        <w:rPr>
          <w:sz w:val="18"/>
          <w:szCs w:val="16"/>
        </w:rPr>
        <w:t xml:space="preserve">port-precoding </w:t>
      </w:r>
      <w:r>
        <w:rPr>
          <w:rFonts w:hint="eastAsia"/>
          <w:sz w:val="18"/>
          <w:szCs w:val="16"/>
          <w:lang w:eastAsia="zh-CN"/>
        </w:rPr>
        <w:t>matrices</w:t>
      </w:r>
      <w:r>
        <w:rPr>
          <w:sz w:val="18"/>
          <w:szCs w:val="16"/>
        </w:rPr>
        <w:t xml:space="preserve"> </w:t>
      </w:r>
      <w:r>
        <w:rPr>
          <w:rFonts w:hint="eastAsia"/>
          <w:sz w:val="18"/>
          <w:szCs w:val="16"/>
        </w:rPr>
        <w:t xml:space="preserve">and 16 </w:t>
      </w:r>
      <w:r>
        <w:rPr>
          <w:sz w:val="18"/>
          <w:szCs w:val="16"/>
        </w:rPr>
        <w:t xml:space="preserve">port-precoding </w:t>
      </w:r>
      <w:r>
        <w:rPr>
          <w:rFonts w:hint="eastAsia"/>
          <w:sz w:val="18"/>
          <w:szCs w:val="16"/>
          <w:lang w:eastAsia="zh-CN"/>
        </w:rPr>
        <w:t>matrices</w:t>
      </w:r>
      <w:r>
        <w:rPr>
          <w:sz w:val="18"/>
          <w:szCs w:val="16"/>
        </w:rPr>
        <w:t xml:space="preserve"> </w:t>
      </w:r>
      <w:r>
        <w:rPr>
          <w:rFonts w:hint="eastAsia"/>
          <w:sz w:val="18"/>
          <w:szCs w:val="16"/>
        </w:rPr>
        <w:t xml:space="preserve">with </w:t>
      </w:r>
      <w:r>
        <w:rPr>
          <w:sz w:val="18"/>
          <w:szCs w:val="16"/>
        </w:rPr>
        <w:t>different</w:t>
      </w:r>
      <w:r>
        <w:rPr>
          <w:rFonts w:hint="eastAsia"/>
          <w:sz w:val="18"/>
          <w:szCs w:val="16"/>
        </w:rPr>
        <w:t xml:space="preserve"> Rank</w:t>
      </w:r>
      <w:r>
        <w:rPr>
          <w:sz w:val="18"/>
          <w:szCs w:val="16"/>
        </w:rPr>
        <w:t>s</w:t>
      </w:r>
    </w:p>
    <w:p>
      <w:pPr>
        <w:spacing w:before="120" w:after="120"/>
        <w:rPr>
          <w:bCs/>
        </w:rPr>
      </w:pPr>
      <w:r>
        <w:rPr>
          <w:rFonts w:hint="eastAsia"/>
        </w:rPr>
        <w:t>According to the simulation results, t</w:t>
      </w:r>
      <w:r>
        <w:rPr>
          <w:bCs/>
        </w:rPr>
        <w:t xml:space="preserve">he probability of the correlation coefficient </w:t>
      </w:r>
      <w:r>
        <w:rPr>
          <w:rFonts w:hint="eastAsia"/>
          <w:bCs/>
        </w:rPr>
        <w:t>of</w:t>
      </w:r>
      <w:r>
        <w:rPr>
          <w:bCs/>
        </w:rPr>
        <w:t xml:space="preserve"> 16</w:t>
      </w:r>
      <w:r>
        <w:rPr>
          <w:rFonts w:hint="eastAsia"/>
          <w:bCs/>
        </w:rPr>
        <w:t>-port</w:t>
      </w:r>
      <w:r>
        <w:rPr>
          <w:bCs/>
        </w:rPr>
        <w:t xml:space="preserve"> precoding </w:t>
      </w:r>
      <w:r>
        <w:rPr>
          <w:rFonts w:hint="eastAsia"/>
        </w:rPr>
        <w:t xml:space="preserve">matrices </w:t>
      </w:r>
      <w:r>
        <w:rPr>
          <w:bCs/>
        </w:rPr>
        <w:t xml:space="preserve">and 32-port precoding </w:t>
      </w:r>
      <w:r>
        <w:rPr>
          <w:rFonts w:hint="eastAsia"/>
          <w:bCs/>
        </w:rPr>
        <w:t xml:space="preserve">matrices </w:t>
      </w:r>
      <w:r>
        <w:rPr>
          <w:bCs/>
        </w:rPr>
        <w:t>that is greater than 0.6 is</w:t>
      </w:r>
      <w:r>
        <w:rPr>
          <w:rFonts w:hint="eastAsia"/>
          <w:bCs/>
        </w:rPr>
        <w:t xml:space="preserve"> less than 30% for rank of 3,4</w:t>
      </w:r>
      <w:r>
        <w:rPr>
          <w:bCs/>
        </w:rPr>
        <w:t>.</w:t>
      </w:r>
      <w:r>
        <w:rPr>
          <w:rFonts w:hint="eastAsia"/>
          <w:bCs/>
        </w:rPr>
        <w:t xml:space="preserve"> The</w:t>
      </w:r>
      <w:r>
        <w:rPr>
          <w:bCs/>
        </w:rPr>
        <w:t xml:space="preserve"> correlation is much lower than the evaluation in Figure </w:t>
      </w:r>
      <w:r>
        <w:rPr>
          <w:rFonts w:hint="eastAsia"/>
          <w:bCs/>
        </w:rPr>
        <w:t xml:space="preserve">4 </w:t>
      </w:r>
      <w:r>
        <w:rPr>
          <w:bCs/>
        </w:rPr>
        <w:t xml:space="preserve">due to the improper selection of ports. </w:t>
      </w:r>
    </w:p>
    <w:p>
      <w:pPr>
        <w:pStyle w:val="30"/>
        <w:spacing w:before="120" w:after="120"/>
        <w:rPr>
          <w:lang w:val="en-US" w:eastAsia="zh-CN"/>
        </w:rPr>
      </w:pPr>
      <w:bookmarkStart w:id="129" w:name="_Toc2153"/>
      <w:bookmarkStart w:id="130" w:name="_Toc3748"/>
      <w:bookmarkStart w:id="131" w:name="_Toc30566"/>
      <w:r>
        <w:rPr>
          <w:rFonts w:hint="eastAsia"/>
          <w:lang w:val="en-US" w:eastAsia="zh-CN"/>
        </w:rPr>
        <w:t xml:space="preserve">The correlation between </w:t>
      </w:r>
      <w:r>
        <w:rPr>
          <w:bCs w:val="0"/>
        </w:rPr>
        <w:t>16</w:t>
      </w:r>
      <w:r>
        <w:rPr>
          <w:rFonts w:hint="eastAsia"/>
          <w:bCs w:val="0"/>
          <w:lang w:eastAsia="zh-CN"/>
        </w:rPr>
        <w:t>-port</w:t>
      </w:r>
      <w:r>
        <w:rPr>
          <w:bCs w:val="0"/>
        </w:rPr>
        <w:t xml:space="preserve"> </w:t>
      </w:r>
      <w:r>
        <w:rPr>
          <w:rFonts w:hint="eastAsia"/>
          <w:bCs w:val="0"/>
          <w:lang w:val="en-US" w:eastAsia="zh-CN"/>
        </w:rPr>
        <w:t xml:space="preserve">precoding matrix </w:t>
      </w:r>
      <w:r>
        <w:rPr>
          <w:bCs w:val="0"/>
        </w:rPr>
        <w:t xml:space="preserve">and 32-port </w:t>
      </w:r>
      <w:r>
        <w:rPr>
          <w:rFonts w:hint="eastAsia"/>
          <w:bCs w:val="0"/>
          <w:lang w:val="en-US" w:eastAsia="zh-CN"/>
        </w:rPr>
        <w:t xml:space="preserve">precoding matrix </w:t>
      </w:r>
      <w:r>
        <w:rPr>
          <w:rFonts w:hint="eastAsia"/>
          <w:lang w:val="en-US" w:eastAsia="zh-CN"/>
        </w:rPr>
        <w:t>with rank 3 or 4 is low</w:t>
      </w:r>
      <w:r>
        <w:rPr>
          <w:lang w:val="en-US" w:eastAsia="zh-CN"/>
        </w:rPr>
        <w:t xml:space="preserve"> with </w:t>
      </w:r>
      <w:r>
        <w:rPr>
          <w:bCs w:val="0"/>
        </w:rPr>
        <w:t>improper selection of ports</w:t>
      </w:r>
      <w:r>
        <w:rPr>
          <w:rFonts w:hint="eastAsia"/>
          <w:lang w:val="en-US" w:eastAsia="zh-CN"/>
        </w:rPr>
        <w:t>.</w:t>
      </w:r>
      <w:bookmarkEnd w:id="129"/>
      <w:bookmarkEnd w:id="130"/>
      <w:bookmarkEnd w:id="131"/>
      <w:r>
        <w:rPr>
          <w:rFonts w:hint="eastAsia"/>
          <w:lang w:val="en-US" w:eastAsia="zh-CN"/>
        </w:rPr>
        <w:t xml:space="preserve"> </w:t>
      </w:r>
    </w:p>
    <w:p>
      <w:pPr>
        <w:spacing w:before="120" w:after="120"/>
        <w:rPr>
          <w:color w:val="000000"/>
        </w:rPr>
      </w:pPr>
      <w:r>
        <w:rPr>
          <w:rFonts w:hint="eastAsia"/>
          <w:color w:val="000000"/>
        </w:rPr>
        <w:t xml:space="preserve">The reason about the low correlation between two </w:t>
      </w:r>
      <w:r>
        <w:rPr>
          <w:rFonts w:hint="eastAsia"/>
        </w:rPr>
        <w:t xml:space="preserve">precoding </w:t>
      </w:r>
      <w:r>
        <w:rPr>
          <w:rFonts w:hint="eastAsia"/>
          <w:bCs/>
        </w:rPr>
        <w:t xml:space="preserve">matrices </w:t>
      </w:r>
      <w:r>
        <w:rPr>
          <w:rFonts w:hint="eastAsia"/>
          <w:color w:val="000000"/>
        </w:rPr>
        <w:t xml:space="preserve">when rank = 3 or 4 is the derived </w:t>
      </w:r>
      <w:r>
        <w:rPr>
          <w:rFonts w:hint="eastAsia"/>
        </w:rPr>
        <w:t xml:space="preserve">precoding matrix </w:t>
      </w:r>
      <w:r>
        <w:rPr>
          <w:rFonts w:hint="eastAsia"/>
          <w:color w:val="000000"/>
        </w:rPr>
        <w:t xml:space="preserve">does not </w:t>
      </w:r>
      <w:r>
        <w:rPr>
          <w:color w:val="000000"/>
        </w:rPr>
        <w:t>follow</w:t>
      </w:r>
      <w:r>
        <w:rPr>
          <w:rFonts w:hint="eastAsia"/>
          <w:color w:val="000000"/>
        </w:rPr>
        <w:t xml:space="preserve"> the structure of the </w:t>
      </w:r>
      <w:r>
        <w:rPr>
          <w:rFonts w:hint="eastAsia"/>
        </w:rPr>
        <w:t>precoding matrix</w:t>
      </w:r>
      <w:r>
        <w:t xml:space="preserve"> defined in TS 38.214</w:t>
      </w:r>
      <w:r>
        <w:rPr>
          <w:rFonts w:hint="eastAsia"/>
          <w:color w:val="000000"/>
        </w:rPr>
        <w:t xml:space="preserve">. For example, as shown in Figure 9, the derived </w:t>
      </w:r>
      <w:r>
        <w:rPr>
          <w:rFonts w:hint="eastAsia"/>
        </w:rPr>
        <w:t xml:space="preserve">precoding matrix </w:t>
      </w:r>
      <w:r>
        <w:rPr>
          <w:rFonts w:hint="eastAsia"/>
          <w:color w:val="000000"/>
        </w:rPr>
        <w:t xml:space="preserve">with 16 ports </w:t>
      </w:r>
      <w:r>
        <w:rPr>
          <w:color w:val="000000"/>
        </w:rPr>
        <w:t xml:space="preserve">based on the port selection in the evaluation </w:t>
      </w:r>
      <w:r>
        <w:rPr>
          <w:rFonts w:hint="eastAsia"/>
          <w:color w:val="000000"/>
        </w:rPr>
        <w:t xml:space="preserve">only </w:t>
      </w:r>
      <w:r>
        <w:rPr>
          <w:color w:val="000000"/>
        </w:rPr>
        <w:t>comprises of</w:t>
      </w:r>
      <w:r>
        <w:rPr>
          <w:rFonts w:hint="eastAsia"/>
          <w:color w:val="000000"/>
        </w:rPr>
        <w:t xml:space="preserve"> part </w:t>
      </w:r>
      <w:r>
        <w:rPr>
          <w:color w:val="000000"/>
        </w:rPr>
        <w:t>#</w:t>
      </w:r>
      <w:r>
        <w:rPr>
          <w:rFonts w:hint="eastAsia"/>
          <w:color w:val="000000"/>
        </w:rPr>
        <w:t xml:space="preserve">1 and part </w:t>
      </w:r>
      <w:r>
        <w:rPr>
          <w:color w:val="000000"/>
        </w:rPr>
        <w:t>#</w:t>
      </w:r>
      <w:r>
        <w:rPr>
          <w:rFonts w:hint="eastAsia"/>
          <w:color w:val="000000"/>
        </w:rPr>
        <w:t xml:space="preserve">3 of the </w:t>
      </w:r>
      <w:r>
        <w:rPr>
          <w:rFonts w:hint="eastAsia"/>
        </w:rPr>
        <w:t xml:space="preserve">precoding matrix </w:t>
      </w:r>
      <w:r>
        <w:rPr>
          <w:rFonts w:hint="eastAsia"/>
          <w:color w:val="000000"/>
        </w:rPr>
        <w:t>with 32 ports. Hence, the correlation is low.</w:t>
      </w:r>
    </w:p>
    <w:p>
      <w:pPr>
        <w:spacing w:before="120" w:after="120"/>
        <w:jc w:val="center"/>
      </w:pPr>
      <w:r>
        <w:drawing>
          <wp:inline distT="0" distB="0" distL="114300" distR="114300">
            <wp:extent cx="3089275" cy="2164715"/>
            <wp:effectExtent l="0" t="0" r="15875" b="6985"/>
            <wp:docPr id="9"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4"/>
                    <pic:cNvPicPr>
                      <a:picLocks noChangeAspect="1"/>
                    </pic:cNvPicPr>
                  </pic:nvPicPr>
                  <pic:blipFill>
                    <a:blip r:embed="rId89"/>
                    <a:stretch>
                      <a:fillRect/>
                    </a:stretch>
                  </pic:blipFill>
                  <pic:spPr>
                    <a:xfrm>
                      <a:off x="0" y="0"/>
                      <a:ext cx="3089275" cy="2164715"/>
                    </a:xfrm>
                    <a:prstGeom prst="rect">
                      <a:avLst/>
                    </a:prstGeom>
                    <a:noFill/>
                    <a:ln>
                      <a:noFill/>
                    </a:ln>
                  </pic:spPr>
                </pic:pic>
              </a:graphicData>
            </a:graphic>
          </wp:inline>
        </w:drawing>
      </w:r>
    </w:p>
    <w:p>
      <w:pPr>
        <w:spacing w:before="120" w:after="120"/>
        <w:jc w:val="center"/>
      </w:pPr>
      <w:r>
        <w:rPr>
          <w:rFonts w:hint="eastAsia"/>
        </w:rPr>
        <w:t>Figure 9 One example of derived PMI</w:t>
      </w:r>
      <w:r>
        <w:t xml:space="preserve"> based on the port selection in section 4.1.3</w:t>
      </w:r>
    </w:p>
    <w:p>
      <w:pPr>
        <w:spacing w:before="120" w:after="120"/>
        <w:rPr>
          <w:color w:val="000000"/>
        </w:rPr>
      </w:pPr>
      <w:r>
        <w:rPr>
          <w:color w:val="000000"/>
        </w:rPr>
        <w:t xml:space="preserve">However, for the evaluation in Figure </w:t>
      </w:r>
      <w:r>
        <w:rPr>
          <w:rFonts w:hint="eastAsia"/>
          <w:color w:val="000000"/>
        </w:rPr>
        <w:t>4</w:t>
      </w:r>
      <w:r>
        <w:rPr>
          <w:color w:val="000000"/>
        </w:rPr>
        <w:t xml:space="preserve">, </w:t>
      </w:r>
      <w:r>
        <w:rPr>
          <w:rFonts w:hint="eastAsia"/>
          <w:color w:val="000000"/>
        </w:rPr>
        <w:t>the derived precoding matrix with 16 ports</w:t>
      </w:r>
      <w:r>
        <w:rPr>
          <w:color w:val="000000"/>
        </w:rPr>
        <w:t xml:space="preserve"> based on the port selection</w:t>
      </w:r>
      <w:r>
        <w:rPr>
          <w:rFonts w:hint="eastAsia"/>
          <w:color w:val="000000"/>
        </w:rPr>
        <w:t xml:space="preserve"> comprises</w:t>
      </w:r>
      <w:r>
        <w:rPr>
          <w:color w:val="000000"/>
        </w:rPr>
        <w:t xml:space="preserve"> a</w:t>
      </w:r>
      <w:r>
        <w:rPr>
          <w:rFonts w:hint="eastAsia"/>
          <w:color w:val="000000"/>
        </w:rPr>
        <w:t xml:space="preserve"> subset of each part of</w:t>
      </w:r>
      <w:r>
        <w:rPr>
          <w:color w:val="000000"/>
        </w:rPr>
        <w:t xml:space="preserve"> the</w:t>
      </w:r>
      <w:r>
        <w:rPr>
          <w:rFonts w:hint="eastAsia"/>
          <w:color w:val="000000"/>
        </w:rPr>
        <w:t xml:space="preserve"> precoding matrix with 32 ports, </w:t>
      </w:r>
      <w:r>
        <w:rPr>
          <w:color w:val="000000"/>
        </w:rPr>
        <w:t xml:space="preserve">which </w:t>
      </w:r>
      <w:r>
        <w:rPr>
          <w:rFonts w:hint="eastAsia"/>
          <w:color w:val="000000"/>
        </w:rPr>
        <w:t>follow</w:t>
      </w:r>
      <w:r>
        <w:rPr>
          <w:color w:val="000000"/>
        </w:rPr>
        <w:t>s</w:t>
      </w:r>
      <w:r>
        <w:rPr>
          <w:rFonts w:hint="eastAsia"/>
          <w:color w:val="000000"/>
        </w:rPr>
        <w:t xml:space="preserve"> the structure of precoding matrix in TS 38.214</w:t>
      </w:r>
      <w:r>
        <w:rPr>
          <w:color w:val="000000"/>
        </w:rPr>
        <w:t xml:space="preserve">. Therefore, </w:t>
      </w:r>
      <w:r>
        <w:rPr>
          <w:rFonts w:hint="eastAsia"/>
          <w:color w:val="000000"/>
        </w:rPr>
        <w:t>correlation</w:t>
      </w:r>
      <w:r>
        <w:rPr>
          <w:color w:val="000000"/>
        </w:rPr>
        <w:t xml:space="preserve"> and performance</w:t>
      </w:r>
      <w:r>
        <w:rPr>
          <w:rFonts w:hint="eastAsia"/>
          <w:color w:val="000000"/>
        </w:rPr>
        <w:t xml:space="preserve"> are better.</w:t>
      </w:r>
    </w:p>
    <w:p>
      <w:pPr>
        <w:spacing w:before="120" w:after="120"/>
        <w:jc w:val="center"/>
      </w:pPr>
      <w:r>
        <w:drawing>
          <wp:inline distT="0" distB="0" distL="114300" distR="114300">
            <wp:extent cx="3120390" cy="2153920"/>
            <wp:effectExtent l="0" t="0" r="3810" b="17780"/>
            <wp:docPr id="13"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5"/>
                    <pic:cNvPicPr>
                      <a:picLocks noChangeAspect="1"/>
                    </pic:cNvPicPr>
                  </pic:nvPicPr>
                  <pic:blipFill>
                    <a:blip r:embed="rId90"/>
                    <a:stretch>
                      <a:fillRect/>
                    </a:stretch>
                  </pic:blipFill>
                  <pic:spPr>
                    <a:xfrm>
                      <a:off x="0" y="0"/>
                      <a:ext cx="3120390" cy="2153920"/>
                    </a:xfrm>
                    <a:prstGeom prst="rect">
                      <a:avLst/>
                    </a:prstGeom>
                    <a:noFill/>
                    <a:ln>
                      <a:noFill/>
                    </a:ln>
                  </pic:spPr>
                </pic:pic>
              </a:graphicData>
            </a:graphic>
          </wp:inline>
        </w:drawing>
      </w:r>
    </w:p>
    <w:p>
      <w:pPr>
        <w:spacing w:before="120" w:after="120"/>
        <w:jc w:val="center"/>
      </w:pPr>
      <w:r>
        <w:rPr>
          <w:rFonts w:hint="eastAsia"/>
        </w:rPr>
        <w:t>Figure 10 Another example of derived PMI</w:t>
      </w:r>
      <w:r>
        <w:t xml:space="preserve"> based on the port selection in section 4.1.1</w:t>
      </w:r>
    </w:p>
    <w:p>
      <w:pPr>
        <w:spacing w:before="120" w:after="120"/>
      </w:pPr>
      <w:r>
        <w:rPr>
          <w:rFonts w:hint="eastAsia"/>
        </w:rPr>
        <w:t xml:space="preserve">To summarize, if only one PMI is reported for multiple number of ports, </w:t>
      </w:r>
      <w:r>
        <w:t xml:space="preserve">the port selection should observe </w:t>
      </w:r>
      <w:r>
        <w:rPr>
          <w:rFonts w:hint="eastAsia"/>
        </w:rPr>
        <w:t xml:space="preserve">the following </w:t>
      </w:r>
      <w:r>
        <w:t>principles</w:t>
      </w:r>
      <w:r>
        <w:rPr>
          <w:rFonts w:hint="eastAsia"/>
        </w:rPr>
        <w:t xml:space="preserve">: </w:t>
      </w:r>
    </w:p>
    <w:p>
      <w:pPr>
        <w:numPr>
          <w:ilvl w:val="0"/>
          <w:numId w:val="16"/>
        </w:numPr>
        <w:spacing w:before="120" w:after="120"/>
      </w:pPr>
      <w:r>
        <w:rPr>
          <w:rFonts w:hint="eastAsia"/>
        </w:rPr>
        <w:t>The selected ports should follow a valid (N1,</w:t>
      </w:r>
      <w:r>
        <w:t xml:space="preserve"> </w:t>
      </w:r>
      <w:r>
        <w:rPr>
          <w:rFonts w:hint="eastAsia"/>
        </w:rPr>
        <w:t>N2);</w:t>
      </w:r>
    </w:p>
    <w:p>
      <w:pPr>
        <w:numPr>
          <w:ilvl w:val="0"/>
          <w:numId w:val="16"/>
        </w:numPr>
        <w:spacing w:before="120" w:after="120"/>
      </w:pPr>
      <w:r>
        <w:rPr>
          <w:rFonts w:hint="eastAsia"/>
        </w:rPr>
        <w:t xml:space="preserve">The </w:t>
      </w:r>
      <w:r>
        <w:t>extracted</w:t>
      </w:r>
      <w:r>
        <w:rPr>
          <w:rFonts w:hint="eastAsia"/>
        </w:rPr>
        <w:t xml:space="preserve"> precoding matrix should follow the structure of the precoding matrix in TS 38.214.</w:t>
      </w:r>
    </w:p>
    <w:p>
      <w:pPr>
        <w:pStyle w:val="30"/>
        <w:spacing w:before="120" w:after="120"/>
        <w:rPr>
          <w:lang w:val="en-US" w:eastAsia="zh-CN"/>
        </w:rPr>
      </w:pPr>
      <w:bookmarkStart w:id="132" w:name="_Toc21968"/>
      <w:bookmarkStart w:id="133" w:name="_Toc19341"/>
      <w:bookmarkStart w:id="134" w:name="_Toc342"/>
      <w:r>
        <w:t>I</w:t>
      </w:r>
      <w:r>
        <w:rPr>
          <w:lang w:val="en-US" w:eastAsia="zh-CN"/>
        </w:rPr>
        <w:t>f only one PMI is reported for multiple number of ports, the port selection should observe the following principles:</w:t>
      </w:r>
      <w:bookmarkEnd w:id="132"/>
      <w:bookmarkEnd w:id="133"/>
      <w:bookmarkEnd w:id="134"/>
      <w:r>
        <w:rPr>
          <w:lang w:val="en-US" w:eastAsia="zh-CN"/>
        </w:rPr>
        <w:t xml:space="preserve"> </w:t>
      </w:r>
    </w:p>
    <w:p>
      <w:pPr>
        <w:pStyle w:val="30"/>
        <w:numPr>
          <w:ilvl w:val="0"/>
          <w:numId w:val="17"/>
        </w:numPr>
        <w:spacing w:before="120" w:after="120"/>
        <w:rPr>
          <w:lang w:val="en-US" w:eastAsia="zh-CN"/>
        </w:rPr>
      </w:pPr>
      <w:bookmarkStart w:id="135" w:name="_Toc18247"/>
      <w:bookmarkStart w:id="136" w:name="_Toc17597"/>
      <w:bookmarkStart w:id="137" w:name="_Toc24082"/>
      <w:r>
        <w:rPr>
          <w:lang w:val="en-US" w:eastAsia="zh-CN"/>
        </w:rPr>
        <w:t>The selected ports should follow a valid (N1, N2);</w:t>
      </w:r>
      <w:bookmarkEnd w:id="135"/>
      <w:bookmarkEnd w:id="136"/>
      <w:bookmarkEnd w:id="137"/>
    </w:p>
    <w:p>
      <w:pPr>
        <w:pStyle w:val="30"/>
        <w:numPr>
          <w:ilvl w:val="0"/>
          <w:numId w:val="17"/>
        </w:numPr>
        <w:spacing w:before="120" w:after="120"/>
        <w:rPr>
          <w:lang w:val="en-US" w:eastAsia="zh-CN"/>
        </w:rPr>
      </w:pPr>
      <w:bookmarkStart w:id="138" w:name="_Toc14149"/>
      <w:bookmarkStart w:id="139" w:name="_Toc46"/>
      <w:bookmarkStart w:id="140" w:name="_Toc19524"/>
      <w:r>
        <w:rPr>
          <w:lang w:val="en-US" w:eastAsia="zh-CN"/>
        </w:rPr>
        <w:t>The extracted precoding matrix should follow the structure of the precoding matrix in TS 38.214.</w:t>
      </w:r>
      <w:bookmarkEnd w:id="138"/>
      <w:bookmarkEnd w:id="139"/>
      <w:bookmarkEnd w:id="140"/>
    </w:p>
    <w:p>
      <w:pPr>
        <w:pStyle w:val="3"/>
        <w:numPr>
          <w:ilvl w:val="1"/>
          <w:numId w:val="9"/>
        </w:numPr>
        <w:spacing w:before="120" w:after="120"/>
        <w:ind w:right="210"/>
        <w:rPr>
          <w:rFonts w:ascii="Times New Roman" w:hAnsi="Times New Roman"/>
          <w:b/>
          <w:bCs/>
          <w:sz w:val="21"/>
          <w:szCs w:val="21"/>
        </w:rPr>
      </w:pPr>
      <w:r>
        <w:rPr>
          <w:rFonts w:hint="eastAsia" w:ascii="Times New Roman" w:hAnsi="Times New Roman"/>
          <w:b/>
          <w:bCs/>
          <w:sz w:val="21"/>
          <w:szCs w:val="21"/>
        </w:rPr>
        <w:t>RI</w:t>
      </w:r>
    </w:p>
    <w:p>
      <w:pPr>
        <w:spacing w:before="120" w:after="120"/>
      </w:pPr>
      <w:r>
        <w:t xml:space="preserve">The results in </w:t>
      </w:r>
      <w:r>
        <w:rPr>
          <w:rFonts w:hint="eastAsia"/>
        </w:rPr>
        <w:t>Figure 6 show how RI value changes when the gNB antenna</w:t>
      </w:r>
      <w:r>
        <w:t xml:space="preserve"> are dynamically adapted</w:t>
      </w:r>
      <w:r>
        <w:rPr>
          <w:rFonts w:hint="eastAsia"/>
        </w:rPr>
        <w:t>. According to the simulation results, in most cases, RI doesn</w:t>
      </w:r>
      <w:r>
        <w:t>’</w:t>
      </w:r>
      <w:r>
        <w:rPr>
          <w:rFonts w:hint="eastAsia"/>
        </w:rPr>
        <w:t>t change or just decreased by 1 when CSI-RS antenna ports are dynamically adapted.</w:t>
      </w:r>
    </w:p>
    <w:p>
      <w:pPr>
        <w:pStyle w:val="30"/>
        <w:spacing w:before="120" w:after="120"/>
        <w:rPr>
          <w:lang w:val="en-US" w:eastAsia="zh-CN"/>
        </w:rPr>
      </w:pPr>
      <w:bookmarkStart w:id="141" w:name="_Toc18091"/>
      <w:bookmarkStart w:id="142" w:name="_Toc21314"/>
      <w:bookmarkStart w:id="143" w:name="_Toc5093"/>
      <w:r>
        <w:rPr>
          <w:rFonts w:hint="eastAsia"/>
          <w:lang w:val="en-US" w:eastAsia="zh-CN"/>
        </w:rPr>
        <w:t>In most cases, RI doesn</w:t>
      </w:r>
      <w:r>
        <w:rPr>
          <w:lang w:val="en-US" w:eastAsia="zh-CN"/>
        </w:rPr>
        <w:t>’</w:t>
      </w:r>
      <w:r>
        <w:rPr>
          <w:rFonts w:hint="eastAsia"/>
          <w:lang w:val="en-US" w:eastAsia="zh-CN"/>
        </w:rPr>
        <w:t>t change or just decreased by 1 when CSI-RS antenna ports are dynamically adapted.</w:t>
      </w:r>
      <w:bookmarkEnd w:id="141"/>
      <w:bookmarkEnd w:id="142"/>
      <w:bookmarkEnd w:id="143"/>
    </w:p>
    <w:p>
      <w:pPr>
        <w:spacing w:before="120" w:after="120"/>
      </w:pPr>
      <w:r>
        <w:t>Based on the observation</w:t>
      </w:r>
      <w:r>
        <w:rPr>
          <w:rFonts w:hint="eastAsia"/>
        </w:rPr>
        <w:t>, the overhead of RI can be reduced</w:t>
      </w:r>
      <w:r>
        <w:t xml:space="preserve"> for multi-CSI reporting via</w:t>
      </w:r>
      <w:r>
        <w:rPr>
          <w:rFonts w:hint="eastAsia"/>
        </w:rPr>
        <w:t xml:space="preserve"> differential RI. For example, RI with smaller number of ports </w:t>
      </w:r>
      <w:r>
        <w:t>can be</w:t>
      </w:r>
      <w:r>
        <w:rPr>
          <w:rFonts w:hint="eastAsia"/>
        </w:rPr>
        <w:t xml:space="preserve"> reported using a differential RI value</w:t>
      </w:r>
      <w:r>
        <w:t xml:space="preserve"> which</w:t>
      </w:r>
      <w:r>
        <w:rPr>
          <w:rFonts w:hint="eastAsia"/>
        </w:rPr>
        <w:t xml:space="preserve"> is a differential between a RI value </w:t>
      </w:r>
      <w:r>
        <w:t>of</w:t>
      </w:r>
      <w:r>
        <w:rPr>
          <w:rFonts w:hint="eastAsia"/>
        </w:rPr>
        <w:t xml:space="preserve"> larger port numbers and the RI value with smaller port numbers. The candidates of differential RI value can be small according to </w:t>
      </w:r>
      <w:r>
        <w:t xml:space="preserve">evaluation results in Figure </w:t>
      </w:r>
      <w:r>
        <w:rPr>
          <w:rFonts w:hint="eastAsia"/>
        </w:rPr>
        <w:t>6.</w:t>
      </w:r>
      <w:r>
        <w:t xml:space="preserve"> </w:t>
      </w:r>
    </w:p>
    <w:p>
      <w:pPr>
        <w:pStyle w:val="31"/>
        <w:spacing w:before="120" w:after="120"/>
        <w:rPr>
          <w:rFonts w:hint="eastAsia"/>
          <w:lang w:val="en-US" w:eastAsia="zh-CN"/>
        </w:rPr>
      </w:pPr>
      <w:bookmarkStart w:id="144" w:name="_Toc13859"/>
      <w:bookmarkStart w:id="145" w:name="_Toc14347"/>
      <w:bookmarkStart w:id="146" w:name="_Toc10904"/>
      <w:bookmarkStart w:id="147" w:name="_Toc4473"/>
      <w:bookmarkStart w:id="148" w:name="_Toc131790365"/>
      <w:bookmarkStart w:id="149" w:name="_Toc20870"/>
      <w:bookmarkStart w:id="150" w:name="_Toc29970"/>
      <w:bookmarkStart w:id="151" w:name="_Toc5544"/>
      <w:r>
        <w:rPr>
          <w:rFonts w:hint="eastAsia"/>
          <w:lang w:val="en-US" w:eastAsia="zh-CN"/>
        </w:rPr>
        <w:t>Differential RI can be considered to reduce U</w:t>
      </w:r>
      <w:r>
        <w:rPr>
          <w:lang w:val="en-US" w:eastAsia="zh-CN"/>
        </w:rPr>
        <w:t>CI</w:t>
      </w:r>
      <w:r>
        <w:rPr>
          <w:rFonts w:hint="eastAsia"/>
          <w:lang w:val="en-US" w:eastAsia="zh-CN"/>
        </w:rPr>
        <w:t xml:space="preserve"> overhead.</w:t>
      </w:r>
      <w:bookmarkEnd w:id="144"/>
      <w:bookmarkEnd w:id="145"/>
      <w:bookmarkEnd w:id="146"/>
      <w:bookmarkEnd w:id="147"/>
      <w:bookmarkEnd w:id="148"/>
      <w:bookmarkEnd w:id="149"/>
      <w:bookmarkEnd w:id="150"/>
      <w:bookmarkEnd w:id="151"/>
    </w:p>
    <w:p>
      <w:pPr>
        <w:pStyle w:val="3"/>
        <w:numPr>
          <w:ilvl w:val="1"/>
          <w:numId w:val="9"/>
        </w:numPr>
        <w:spacing w:before="120" w:after="120"/>
        <w:ind w:right="210"/>
        <w:rPr>
          <w:rFonts w:ascii="Times New Roman" w:hAnsi="Times New Roman"/>
          <w:b/>
          <w:bCs/>
          <w:sz w:val="21"/>
          <w:szCs w:val="21"/>
        </w:rPr>
      </w:pPr>
      <w:r>
        <w:rPr>
          <w:rFonts w:hint="eastAsia" w:ascii="Times New Roman" w:hAnsi="Times New Roman"/>
          <w:b/>
          <w:bCs/>
          <w:sz w:val="21"/>
          <w:szCs w:val="21"/>
        </w:rPr>
        <w:t>CQI</w:t>
      </w:r>
    </w:p>
    <w:p>
      <w:pPr>
        <w:spacing w:before="120" w:after="120"/>
      </w:pPr>
      <w:r>
        <w:rPr>
          <w:rFonts w:hint="eastAsia"/>
        </w:rPr>
        <w:t xml:space="preserve">Similar as RI </w:t>
      </w:r>
      <w:r>
        <w:t>overhead reduction</w:t>
      </w:r>
      <w:r>
        <w:rPr>
          <w:rFonts w:hint="eastAsia"/>
        </w:rPr>
        <w:t>, the CQI with different number of ports will not change a lot when the CSI-RS resources with different port numbers are nested, thus a differential CQI can be considered for multi-CSI report</w:t>
      </w:r>
      <w:r>
        <w:t xml:space="preserve"> which</w:t>
      </w:r>
      <w:r>
        <w:rPr>
          <w:rFonts w:hint="eastAsia"/>
        </w:rPr>
        <w:t xml:space="preserve"> is a differential between a CQI value with larger number of ports and the CQI value with smaller number of ports. </w:t>
      </w:r>
    </w:p>
    <w:p>
      <w:pPr>
        <w:pStyle w:val="31"/>
        <w:spacing w:before="120" w:after="120"/>
        <w:rPr>
          <w:lang w:val="en-US" w:eastAsia="zh-CN"/>
        </w:rPr>
      </w:pPr>
      <w:bookmarkStart w:id="152" w:name="_Toc30352"/>
      <w:bookmarkStart w:id="153" w:name="_Toc2279"/>
      <w:bookmarkStart w:id="154" w:name="_Toc131790366"/>
      <w:bookmarkStart w:id="155" w:name="_Toc4908"/>
      <w:bookmarkStart w:id="156" w:name="_Toc15095"/>
      <w:bookmarkStart w:id="157" w:name="_Toc17682"/>
      <w:bookmarkStart w:id="158" w:name="_Toc8173"/>
      <w:bookmarkStart w:id="159" w:name="_Toc32355"/>
      <w:r>
        <w:rPr>
          <w:rFonts w:hint="eastAsia"/>
          <w:lang w:val="en-US" w:eastAsia="zh-CN"/>
        </w:rPr>
        <w:t xml:space="preserve">Differential CQI can be considered to reduce </w:t>
      </w:r>
      <w:r>
        <w:rPr>
          <w:lang w:val="en-US" w:eastAsia="zh-CN"/>
        </w:rPr>
        <w:t>UCI</w:t>
      </w:r>
      <w:r>
        <w:rPr>
          <w:rFonts w:hint="eastAsia"/>
          <w:lang w:val="en-US" w:eastAsia="zh-CN"/>
        </w:rPr>
        <w:t xml:space="preserve"> overhead.</w:t>
      </w:r>
      <w:bookmarkEnd w:id="152"/>
      <w:bookmarkEnd w:id="153"/>
      <w:bookmarkEnd w:id="154"/>
      <w:bookmarkEnd w:id="155"/>
      <w:bookmarkEnd w:id="156"/>
      <w:bookmarkEnd w:id="157"/>
      <w:bookmarkEnd w:id="158"/>
      <w:bookmarkEnd w:id="159"/>
    </w:p>
    <w:p>
      <w:pPr>
        <w:spacing w:before="120" w:after="120"/>
        <w:rPr>
          <w:rFonts w:hint="eastAsia"/>
        </w:rPr>
      </w:pPr>
    </w:p>
    <w:p>
      <w:pPr>
        <w:pStyle w:val="2"/>
        <w:numPr>
          <w:ilvl w:val="0"/>
          <w:numId w:val="9"/>
        </w:numPr>
        <w:spacing w:before="120" w:after="120"/>
        <w:rPr>
          <w:rFonts w:ascii="Times New Roman" w:hAnsi="Times New Roman" w:eastAsia="宋体"/>
          <w:b/>
          <w:bCs/>
          <w:sz w:val="28"/>
          <w:szCs w:val="28"/>
        </w:rPr>
      </w:pPr>
      <w:r>
        <w:rPr>
          <w:rFonts w:hint="eastAsia" w:ascii="Times New Roman" w:hAnsi="Times New Roman" w:eastAsia="宋体"/>
          <w:b/>
          <w:bCs/>
          <w:sz w:val="28"/>
          <w:szCs w:val="28"/>
        </w:rPr>
        <w:t xml:space="preserve">Discussion on the impact </w:t>
      </w:r>
      <w:r>
        <w:rPr>
          <w:rFonts w:ascii="Times New Roman" w:hAnsi="Times New Roman" w:eastAsia="宋体"/>
          <w:b/>
          <w:bCs/>
          <w:sz w:val="28"/>
          <w:szCs w:val="28"/>
        </w:rPr>
        <w:t xml:space="preserve">of spatial domain adaptation </w:t>
      </w:r>
      <w:r>
        <w:rPr>
          <w:rFonts w:hint="eastAsia" w:ascii="Times New Roman" w:hAnsi="Times New Roman" w:eastAsia="宋体"/>
          <w:b/>
          <w:bCs/>
          <w:sz w:val="28"/>
          <w:szCs w:val="28"/>
        </w:rPr>
        <w:t>on beam management</w:t>
      </w:r>
    </w:p>
    <w:p>
      <w:pPr>
        <w:spacing w:before="120" w:after="120"/>
        <w:rPr>
          <w:szCs w:val="21"/>
        </w:rPr>
      </w:pPr>
      <w:r>
        <w:rPr>
          <w:rFonts w:hint="eastAsia"/>
          <w:szCs w:val="21"/>
        </w:rPr>
        <w:t xml:space="preserve">For the CSI-RS resources configured for L1-RSRP and L1-SINR computation, the </w:t>
      </w:r>
      <w:r>
        <w:rPr>
          <w:color w:val="000000" w:themeColor="text1"/>
          <w14:textFill>
            <w14:solidFill>
              <w14:schemeClr w14:val="tx1"/>
            </w14:solidFill>
          </w14:textFill>
        </w:rPr>
        <w:t>UE can only be configured with the same number (1 or 2) of ports</w:t>
      </w:r>
      <w:r>
        <w:rPr>
          <w:color w:val="000000" w:themeColor="text1"/>
          <w:lang w:eastAsia="ko-KR"/>
          <w14:textFill>
            <w14:solidFill>
              <w14:schemeClr w14:val="tx1"/>
            </w14:solidFill>
          </w14:textFill>
        </w:rPr>
        <w:t xml:space="preserve"> </w:t>
      </w:r>
      <w:r>
        <w:rPr>
          <w:color w:val="000000" w:themeColor="text1"/>
          <w14:textFill>
            <w14:solidFill>
              <w14:schemeClr w14:val="tx1"/>
            </w14:solidFill>
          </w14:textFill>
        </w:rPr>
        <w:t xml:space="preserve">for all </w:t>
      </w:r>
      <w:r>
        <w:rPr>
          <w:rFonts w:eastAsia="MS Mincho"/>
          <w:color w:val="000000" w:themeColor="text1"/>
          <w14:textFill>
            <w14:solidFill>
              <w14:schemeClr w14:val="tx1"/>
            </w14:solidFill>
          </w14:textFill>
        </w:rPr>
        <w:t>CSI-RS resources within the CSI-RS resource</w:t>
      </w:r>
      <w:r>
        <w:rPr>
          <w:rFonts w:hint="eastAsia"/>
          <w:color w:val="000000" w:themeColor="text1"/>
          <w14:textFill>
            <w14:solidFill>
              <w14:schemeClr w14:val="tx1"/>
            </w14:solidFill>
          </w14:textFill>
        </w:rPr>
        <w:t xml:space="preserve"> </w:t>
      </w:r>
      <w:r>
        <w:rPr>
          <w:rFonts w:eastAsia="MS Mincho"/>
          <w:color w:val="000000" w:themeColor="text1"/>
          <w14:textFill>
            <w14:solidFill>
              <w14:schemeClr w14:val="tx1"/>
            </w14:solidFill>
          </w14:textFill>
        </w:rPr>
        <w:t>set</w:t>
      </w:r>
      <w:r>
        <w:rPr>
          <w:rFonts w:hint="eastAsia"/>
          <w:color w:val="000000" w:themeColor="text1"/>
          <w14:textFill>
            <w14:solidFill>
              <w14:schemeClr w14:val="tx1"/>
            </w14:solidFill>
          </w14:textFill>
        </w:rPr>
        <w:t xml:space="preserve">. </w:t>
      </w:r>
      <w:r>
        <w:rPr>
          <w:rFonts w:hint="eastAsia"/>
          <w:szCs w:val="21"/>
        </w:rPr>
        <w:t xml:space="preserve">In 3GPP RAN1#112 meeting, two types mapping methods between </w:t>
      </w:r>
      <w:r>
        <w:rPr>
          <w:szCs w:val="21"/>
        </w:rPr>
        <w:t>antenna elements</w:t>
      </w:r>
      <w:r>
        <w:rPr>
          <w:rFonts w:hint="eastAsia"/>
          <w:szCs w:val="21"/>
        </w:rPr>
        <w:t xml:space="preserve"> and </w:t>
      </w:r>
      <w:r>
        <w:rPr>
          <w:szCs w:val="21"/>
        </w:rPr>
        <w:t>logical antenna port</w:t>
      </w:r>
      <w:r>
        <w:rPr>
          <w:rFonts w:hint="eastAsia"/>
          <w:szCs w:val="21"/>
        </w:rPr>
        <w:t xml:space="preserve"> were discussed as follows.</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9740" w:type="dxa"/>
          </w:tcPr>
          <w:p>
            <w:pPr>
              <w:spacing w:before="0" w:beforeLines="0" w:after="0" w:afterLines="0" w:line="288" w:lineRule="auto"/>
              <w:rPr>
                <w:b/>
                <w:bCs/>
                <w:szCs w:val="21"/>
                <w:highlight w:val="green"/>
              </w:rPr>
            </w:pPr>
            <w:r>
              <w:rPr>
                <w:b/>
                <w:bCs/>
                <w:szCs w:val="21"/>
                <w:highlight w:val="green"/>
              </w:rPr>
              <w:t>Agreement</w:t>
            </w:r>
          </w:p>
          <w:p>
            <w:pPr>
              <w:spacing w:before="0" w:beforeLines="0" w:after="0" w:afterLines="0" w:line="288" w:lineRule="auto"/>
              <w:rPr>
                <w:szCs w:val="21"/>
              </w:rPr>
            </w:pPr>
            <w:r>
              <w:rPr>
                <w:szCs w:val="21"/>
              </w:rPr>
              <w:t>For the purpose of further discussions in RAN1 on NES spatial domain adaptations, consider the following cases</w:t>
            </w:r>
          </w:p>
          <w:p>
            <w:pPr>
              <w:numPr>
                <w:ilvl w:val="0"/>
                <w:numId w:val="10"/>
              </w:numPr>
              <w:spacing w:before="0" w:beforeLines="0" w:after="0" w:afterLines="0" w:line="288" w:lineRule="auto"/>
              <w:rPr>
                <w:szCs w:val="21"/>
              </w:rPr>
            </w:pPr>
            <w:r>
              <w:rPr>
                <w:szCs w:val="21"/>
              </w:rPr>
              <w:t>Type 1: all antenna elements associated to a logical antenna port is disabled/enabled</w:t>
            </w:r>
          </w:p>
          <w:p>
            <w:pPr>
              <w:numPr>
                <w:ilvl w:val="0"/>
                <w:numId w:val="10"/>
              </w:numPr>
              <w:spacing w:before="0" w:beforeLines="0" w:after="0" w:afterLines="0" w:line="288" w:lineRule="auto"/>
              <w:rPr>
                <w:szCs w:val="21"/>
              </w:rPr>
            </w:pPr>
            <w:r>
              <w:rPr>
                <w:szCs w:val="21"/>
              </w:rPr>
              <w:t>Type 2: part/subset of antenna elements associated to a logical antenna port is disabled/enabled</w:t>
            </w:r>
          </w:p>
        </w:tc>
      </w:tr>
    </w:tbl>
    <w:p>
      <w:pPr>
        <w:spacing w:before="120" w:after="120"/>
        <w:rPr>
          <w:szCs w:val="21"/>
        </w:rPr>
      </w:pPr>
      <w:r>
        <w:rPr>
          <w:rFonts w:hint="eastAsia"/>
          <w:szCs w:val="21"/>
        </w:rPr>
        <w:t>With type 1 mapping method, even the dynamic antenna port adaptation is used for network energy saving, the antenna port configuration of CSI-RS resources used for L1-RSRP and L1-SINR computation does not need to be impacted.</w:t>
      </w:r>
    </w:p>
    <w:p>
      <w:pPr>
        <w:pStyle w:val="30"/>
        <w:tabs>
          <w:tab w:val="clear" w:pos="0"/>
          <w:tab w:val="clear" w:pos="420"/>
          <w:tab w:val="clear" w:pos="4820"/>
        </w:tabs>
        <w:adjustRightInd w:val="0"/>
        <w:snapToGrid w:val="0"/>
        <w:spacing w:before="120" w:after="120"/>
        <w:rPr>
          <w:rFonts w:eastAsia="宋体"/>
          <w:color w:val="000000" w:themeColor="text1"/>
          <w:lang w:val="en-US" w:eastAsia="zh-CN"/>
          <w14:textFill>
            <w14:solidFill>
              <w14:schemeClr w14:val="tx1"/>
            </w14:solidFill>
          </w14:textFill>
        </w:rPr>
      </w:pPr>
      <w:bookmarkStart w:id="160" w:name="_Toc127521890"/>
      <w:bookmarkStart w:id="161" w:name="_Toc7082"/>
      <w:bookmarkStart w:id="162" w:name="_Toc12193"/>
      <w:bookmarkStart w:id="163" w:name="_Toc8751"/>
      <w:bookmarkStart w:id="164" w:name="_Toc23299"/>
      <w:bookmarkStart w:id="165" w:name="_Toc12986"/>
      <w:bookmarkStart w:id="166" w:name="_Toc26641"/>
      <w:bookmarkStart w:id="167" w:name="_Toc168"/>
      <w:r>
        <w:rPr>
          <w:rFonts w:eastAsia="宋体"/>
          <w:color w:val="000000" w:themeColor="text1"/>
          <w:lang w:val="en-US" w:eastAsia="zh-CN"/>
          <w14:textFill>
            <w14:solidFill>
              <w14:schemeClr w14:val="tx1"/>
            </w14:solidFill>
          </w14:textFill>
        </w:rPr>
        <w:t xml:space="preserve">The </w:t>
      </w:r>
      <w:r>
        <w:rPr>
          <w:rFonts w:hint="eastAsia" w:eastAsia="宋体"/>
          <w:color w:val="000000" w:themeColor="text1"/>
          <w:lang w:val="en-US" w:eastAsia="zh-CN"/>
          <w14:textFill>
            <w14:solidFill>
              <w14:schemeClr w14:val="tx1"/>
            </w14:solidFill>
          </w14:textFill>
        </w:rPr>
        <w:t>spatial element</w:t>
      </w:r>
      <w:r>
        <w:rPr>
          <w:rFonts w:eastAsia="宋体"/>
          <w:color w:val="000000" w:themeColor="text1"/>
          <w:lang w:val="en-US" w:eastAsia="zh-CN"/>
          <w14:textFill>
            <w14:solidFill>
              <w14:schemeClr w14:val="tx1"/>
            </w14:solidFill>
          </w14:textFill>
        </w:rPr>
        <w:t xml:space="preserve"> adaptation </w:t>
      </w:r>
      <w:r>
        <w:rPr>
          <w:rFonts w:hint="eastAsia" w:eastAsia="宋体"/>
          <w:color w:val="000000" w:themeColor="text1"/>
          <w:lang w:val="en-US" w:eastAsia="zh-CN"/>
          <w14:textFill>
            <w14:solidFill>
              <w14:schemeClr w14:val="tx1"/>
            </w14:solidFill>
          </w14:textFill>
        </w:rPr>
        <w:t xml:space="preserve">with type 1 mapping method </w:t>
      </w:r>
      <w:r>
        <w:rPr>
          <w:rFonts w:eastAsia="宋体"/>
          <w:color w:val="000000" w:themeColor="text1"/>
          <w:lang w:val="en-US" w:eastAsia="zh-CN"/>
          <w14:textFill>
            <w14:solidFill>
              <w14:schemeClr w14:val="tx1"/>
            </w14:solidFill>
          </w14:textFill>
        </w:rPr>
        <w:t>does not impact the antenna port configuration of CSI-RS resources for beam management.</w:t>
      </w:r>
      <w:bookmarkEnd w:id="160"/>
      <w:bookmarkEnd w:id="161"/>
      <w:bookmarkEnd w:id="162"/>
      <w:bookmarkEnd w:id="163"/>
      <w:bookmarkEnd w:id="164"/>
      <w:bookmarkEnd w:id="165"/>
      <w:bookmarkEnd w:id="166"/>
      <w:bookmarkEnd w:id="167"/>
      <w:r>
        <w:rPr>
          <w:rFonts w:eastAsia="宋体"/>
          <w:color w:val="000000" w:themeColor="text1"/>
          <w:lang w:val="en-US" w:eastAsia="zh-CN"/>
          <w14:textFill>
            <w14:solidFill>
              <w14:schemeClr w14:val="tx1"/>
            </w14:solidFill>
          </w14:textFill>
        </w:rPr>
        <w:t xml:space="preserve"> </w:t>
      </w:r>
    </w:p>
    <w:p>
      <w:pPr>
        <w:spacing w:before="120" w:after="120"/>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For type 2 mapping method, the CSI-RS </w:t>
      </w:r>
      <w:r>
        <w:rPr>
          <w:color w:val="000000" w:themeColor="text1"/>
          <w14:textFill>
            <w14:solidFill>
              <w14:schemeClr w14:val="tx1"/>
            </w14:solidFill>
          </w14:textFill>
        </w:rPr>
        <w:t>resource</w:t>
      </w:r>
      <w:r>
        <w:rPr>
          <w:rFonts w:hint="eastAsia"/>
          <w:color w:val="000000" w:themeColor="text1"/>
          <w14:textFill>
            <w14:solidFill>
              <w14:schemeClr w14:val="tx1"/>
            </w14:solidFill>
          </w14:textFill>
        </w:rPr>
        <w:t>s</w:t>
      </w:r>
      <w:r>
        <w:rPr>
          <w:color w:val="000000" w:themeColor="text1"/>
          <w14:textFill>
            <w14:solidFill>
              <w14:schemeClr w14:val="tx1"/>
            </w14:solidFill>
          </w14:textFill>
        </w:rPr>
        <w:t xml:space="preserve"> for beam management</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may be</w:t>
      </w:r>
      <w:r>
        <w:rPr>
          <w:rFonts w:hint="eastAsia"/>
          <w:color w:val="000000" w:themeColor="text1"/>
          <w14:textFill>
            <w14:solidFill>
              <w14:schemeClr w14:val="tx1"/>
            </w14:solidFill>
          </w14:textFill>
        </w:rPr>
        <w:t xml:space="preserve"> affected by the dynamic spatial element adaptation. However, th</w:t>
      </w:r>
      <w:r>
        <w:rPr>
          <w:color w:val="000000" w:themeColor="text1"/>
          <w14:textFill>
            <w14:solidFill>
              <w14:schemeClr w14:val="tx1"/>
            </w14:solidFill>
          </w14:textFill>
        </w:rPr>
        <w:t>is</w:t>
      </w:r>
      <w:r>
        <w:rPr>
          <w:rFonts w:hint="eastAsia"/>
          <w:color w:val="000000" w:themeColor="text1"/>
          <w14:textFill>
            <w14:solidFill>
              <w14:schemeClr w14:val="tx1"/>
            </w14:solidFill>
          </w14:textFill>
        </w:rPr>
        <w:t xml:space="preserve"> impact brought by the spatial element adaptation can be avoided by NW implementation. The gNB does not need to perform spatial element adaptation for the CSI-RS resources configured for beam management, and a small amount of energy saving gain is sacrificed to avoid </w:t>
      </w:r>
      <w:r>
        <w:rPr>
          <w:color w:val="000000" w:themeColor="text1"/>
          <w14:textFill>
            <w14:solidFill>
              <w14:schemeClr w14:val="tx1"/>
            </w14:solidFill>
          </w14:textFill>
        </w:rPr>
        <w:t xml:space="preserve">the </w:t>
      </w:r>
      <w:r>
        <w:rPr>
          <w:rFonts w:hint="eastAsia"/>
          <w:color w:val="000000" w:themeColor="text1"/>
          <w14:textFill>
            <w14:solidFill>
              <w14:schemeClr w14:val="tx1"/>
            </w14:solidFill>
          </w14:textFill>
        </w:rPr>
        <w:t>impact.</w:t>
      </w:r>
    </w:p>
    <w:p>
      <w:pPr>
        <w:pStyle w:val="30"/>
        <w:tabs>
          <w:tab w:val="clear" w:pos="0"/>
          <w:tab w:val="clear" w:pos="420"/>
          <w:tab w:val="clear" w:pos="4820"/>
        </w:tabs>
        <w:adjustRightInd w:val="0"/>
        <w:snapToGrid w:val="0"/>
        <w:spacing w:before="120" w:after="120"/>
        <w:rPr>
          <w:color w:val="000000" w:themeColor="text1"/>
          <w:lang w:val="en-US" w:eastAsia="zh-CN"/>
          <w14:textFill>
            <w14:solidFill>
              <w14:schemeClr w14:val="tx1"/>
            </w14:solidFill>
          </w14:textFill>
        </w:rPr>
      </w:pPr>
      <w:bookmarkStart w:id="168" w:name="_Toc12477"/>
      <w:bookmarkStart w:id="169" w:name="_Toc27873"/>
      <w:bookmarkStart w:id="170" w:name="_Toc22090"/>
      <w:bookmarkStart w:id="171" w:name="_Toc22865"/>
      <w:r>
        <w:rPr>
          <w:rFonts w:hint="eastAsia"/>
          <w:color w:val="000000" w:themeColor="text1"/>
          <w:lang w:val="en-US" w:eastAsia="zh-CN"/>
          <w14:textFill>
            <w14:solidFill>
              <w14:schemeClr w14:val="tx1"/>
            </w14:solidFill>
          </w14:textFill>
        </w:rPr>
        <w:t>The impact on beam management with type 2 mapping method can be avoided by NW implementation.</w:t>
      </w:r>
      <w:bookmarkEnd w:id="168"/>
      <w:bookmarkEnd w:id="169"/>
      <w:bookmarkEnd w:id="170"/>
      <w:bookmarkEnd w:id="171"/>
    </w:p>
    <w:p>
      <w:pPr>
        <w:spacing w:before="120" w:after="120"/>
        <w:rPr>
          <w:color w:val="000000" w:themeColor="text1"/>
          <w14:textFill>
            <w14:solidFill>
              <w14:schemeClr w14:val="tx1"/>
            </w14:solidFill>
          </w14:textFill>
        </w:rPr>
      </w:pPr>
      <w:r>
        <w:rPr>
          <w:rFonts w:hint="eastAsia"/>
        </w:rPr>
        <w:t xml:space="preserve">In conclusion, the necessity of enhancement on beam management is unclear, and considering the limited TUs and </w:t>
      </w:r>
      <w:r>
        <w:rPr>
          <w:rFonts w:hint="eastAsia"/>
          <w:color w:val="000000" w:themeColor="text1"/>
          <w14:textFill>
            <w14:solidFill>
              <w14:schemeClr w14:val="tx1"/>
            </w14:solidFill>
          </w14:textFill>
        </w:rPr>
        <w:t>heavy workload, we think the enhancement on beam management should be deprioritized.</w:t>
      </w:r>
    </w:p>
    <w:p>
      <w:pPr>
        <w:pStyle w:val="31"/>
        <w:tabs>
          <w:tab w:val="left" w:pos="1417"/>
          <w:tab w:val="clear" w:pos="0"/>
        </w:tabs>
        <w:spacing w:before="120" w:after="120"/>
        <w:rPr>
          <w:rFonts w:eastAsia="宋体"/>
          <w:color w:val="000000" w:themeColor="text1"/>
          <w:lang w:val="en-US" w:eastAsia="zh-CN"/>
          <w14:textFill>
            <w14:solidFill>
              <w14:schemeClr w14:val="tx1"/>
            </w14:solidFill>
          </w14:textFill>
        </w:rPr>
      </w:pPr>
      <w:bookmarkStart w:id="172" w:name="_Toc13367"/>
      <w:bookmarkStart w:id="173" w:name="_Toc131790367"/>
      <w:bookmarkStart w:id="174" w:name="_Toc31712"/>
      <w:bookmarkStart w:id="175" w:name="_Toc16458"/>
      <w:bookmarkStart w:id="176" w:name="_Toc8536"/>
      <w:bookmarkStart w:id="177" w:name="_Toc15793"/>
      <w:bookmarkStart w:id="178" w:name="_Toc31725"/>
      <w:bookmarkStart w:id="179" w:name="_Toc29876"/>
      <w:bookmarkStart w:id="180" w:name="_Toc21536"/>
      <w:r>
        <w:rPr>
          <w:rFonts w:hint="eastAsia" w:eastAsia="宋体"/>
          <w:color w:val="000000" w:themeColor="text1"/>
          <w:lang w:val="en-US" w:eastAsia="zh-CN"/>
          <w14:textFill>
            <w14:solidFill>
              <w14:schemeClr w14:val="tx1"/>
            </w14:solidFill>
          </w14:textFill>
        </w:rPr>
        <w:t xml:space="preserve">The enhancement on beam management </w:t>
      </w:r>
      <w:r>
        <w:rPr>
          <w:rFonts w:eastAsia="宋体"/>
          <w:color w:val="000000" w:themeColor="text1"/>
          <w:lang w:val="en-US" w:eastAsia="zh-CN"/>
          <w14:textFill>
            <w14:solidFill>
              <w14:schemeClr w14:val="tx1"/>
            </w14:solidFill>
          </w14:textFill>
        </w:rPr>
        <w:t>should</w:t>
      </w:r>
      <w:r>
        <w:rPr>
          <w:rFonts w:hint="eastAsia" w:eastAsia="宋体"/>
          <w:color w:val="000000" w:themeColor="text1"/>
          <w:lang w:val="en-US" w:eastAsia="zh-CN"/>
          <w14:textFill>
            <w14:solidFill>
              <w14:schemeClr w14:val="tx1"/>
            </w14:solidFill>
          </w14:textFill>
        </w:rPr>
        <w:t xml:space="preserve"> be deprioritized.</w:t>
      </w:r>
      <w:bookmarkEnd w:id="172"/>
      <w:bookmarkEnd w:id="173"/>
      <w:bookmarkEnd w:id="174"/>
      <w:bookmarkEnd w:id="175"/>
      <w:bookmarkEnd w:id="176"/>
      <w:bookmarkEnd w:id="177"/>
      <w:bookmarkEnd w:id="178"/>
      <w:bookmarkEnd w:id="179"/>
      <w:bookmarkEnd w:id="180"/>
    </w:p>
    <w:p>
      <w:pPr>
        <w:spacing w:before="120" w:after="120"/>
        <w:rPr>
          <w:color w:val="000000" w:themeColor="text1"/>
          <w14:textFill>
            <w14:solidFill>
              <w14:schemeClr w14:val="tx1"/>
            </w14:solidFill>
          </w14:textFill>
        </w:rPr>
      </w:pPr>
    </w:p>
    <w:p>
      <w:pPr>
        <w:pStyle w:val="2"/>
        <w:numPr>
          <w:ilvl w:val="0"/>
          <w:numId w:val="9"/>
        </w:numPr>
        <w:spacing w:before="120" w:after="120"/>
        <w:rPr>
          <w:rFonts w:ascii="Times New Roman" w:hAnsi="Times New Roman" w:eastAsia="宋体"/>
          <w:b/>
          <w:bCs/>
          <w:sz w:val="28"/>
          <w:szCs w:val="28"/>
        </w:rPr>
      </w:pPr>
      <w:r>
        <w:rPr>
          <w:rFonts w:hint="eastAsia" w:ascii="Times New Roman" w:hAnsi="Times New Roman" w:eastAsia="宋体"/>
          <w:b/>
          <w:bCs/>
          <w:sz w:val="28"/>
          <w:szCs w:val="28"/>
        </w:rPr>
        <w:t>Consideration</w:t>
      </w:r>
      <w:r>
        <w:rPr>
          <w:rFonts w:ascii="Times New Roman" w:hAnsi="Times New Roman" w:eastAsia="宋体"/>
          <w:b/>
          <w:bCs/>
          <w:sz w:val="28"/>
          <w:szCs w:val="28"/>
        </w:rPr>
        <w:t xml:space="preserve"> on CSI related procedure enhancement in power domain</w:t>
      </w:r>
    </w:p>
    <w:p>
      <w:pPr>
        <w:spacing w:before="120" w:after="120"/>
        <w:rPr>
          <w:iCs/>
        </w:rPr>
      </w:pPr>
      <w:r>
        <w:t xml:space="preserve">The dynamic power adjustment can adapt to different channel conditions and bring gNB energy saving gain. </w:t>
      </w:r>
      <w:r>
        <w:rPr>
          <w:szCs w:val="24"/>
        </w:rPr>
        <w:t>Wh</w:t>
      </w:r>
      <w:r>
        <w:rPr>
          <w:rFonts w:hint="eastAsia"/>
          <w:szCs w:val="24"/>
        </w:rPr>
        <w:t>ile</w:t>
      </w:r>
      <w:r>
        <w:rPr>
          <w:szCs w:val="24"/>
        </w:rPr>
        <w:t xml:space="preserve"> </w:t>
      </w:r>
      <w:r>
        <w:rPr>
          <w:rFonts w:hint="eastAsia"/>
          <w:szCs w:val="24"/>
        </w:rPr>
        <w:t>the semi-static power offset configuration does not match the dynamic power adjustment for PDSCH, so the enhancement on the power offset between PDSCH and CSI-RS should be considered.</w:t>
      </w:r>
    </w:p>
    <w:p>
      <w:pPr>
        <w:spacing w:before="120" w:after="120"/>
      </w:pPr>
      <w:r>
        <w:rPr>
          <w:rFonts w:hint="eastAsia"/>
        </w:rPr>
        <w:t xml:space="preserve">Based on the motivation of the enhancement on spatial domain and power domain, it can be observed that both the enhancement for power domain and spatial domain have a similar purpose to provide more information for the base station, so that the base station can obtain proper and more accurate CSIs when network energy saving techniques are used, thereby ensuring that system performance of the base station is not affected. And both the antenna ports related information and the power offset between PDSCH and CSI-RS are </w:t>
      </w:r>
      <w:r>
        <w:rPr>
          <w:rFonts w:eastAsia="PMingLiU"/>
          <w:lang w:eastAsia="zh-TW"/>
        </w:rPr>
        <w:t>critical for the UE to compute the CSI</w:t>
      </w:r>
      <w:r>
        <w:rPr>
          <w:rFonts w:hint="eastAsia"/>
        </w:rPr>
        <w:t>. Therefore, it</w:t>
      </w:r>
      <w:r>
        <w:t>’</w:t>
      </w:r>
      <w:r>
        <w:rPr>
          <w:rFonts w:hint="eastAsia"/>
        </w:rPr>
        <w:t>s better to use a same framework for the enhancement on power domain and the enhancement on spatial domain, so that</w:t>
      </w:r>
      <w:r>
        <w:t xml:space="preserve"> workload</w:t>
      </w:r>
      <w:r>
        <w:rPr>
          <w:rFonts w:hint="eastAsia"/>
        </w:rPr>
        <w:t xml:space="preserve"> can be reduced. </w:t>
      </w:r>
    </w:p>
    <w:p>
      <w:pPr>
        <w:pStyle w:val="31"/>
        <w:tabs>
          <w:tab w:val="left" w:pos="1417"/>
          <w:tab w:val="clear" w:pos="0"/>
        </w:tabs>
        <w:spacing w:before="120" w:after="120"/>
        <w:rPr>
          <w:iCs/>
          <w:lang w:val="en-US" w:eastAsia="zh-CN"/>
        </w:rPr>
      </w:pPr>
      <w:bookmarkStart w:id="181" w:name="_Toc23401"/>
      <w:bookmarkStart w:id="182" w:name="_Toc28446"/>
      <w:bookmarkStart w:id="183" w:name="_Toc10927"/>
      <w:bookmarkStart w:id="184" w:name="_Toc31278"/>
      <w:bookmarkStart w:id="185" w:name="_Toc131790368"/>
      <w:bookmarkStart w:id="186" w:name="_Toc8129"/>
      <w:bookmarkStart w:id="187" w:name="_Toc3003"/>
      <w:bookmarkStart w:id="188" w:name="_Toc28509"/>
      <w:bookmarkStart w:id="189" w:name="_Toc3286"/>
      <w:r>
        <w:rPr>
          <w:rFonts w:hint="eastAsia"/>
          <w:lang w:val="en-US" w:eastAsia="zh-CN"/>
        </w:rPr>
        <w:t xml:space="preserve">Same </w:t>
      </w:r>
      <w:r>
        <w:rPr>
          <w:lang w:val="en-US" w:eastAsia="zh-CN"/>
        </w:rPr>
        <w:t>framework</w:t>
      </w:r>
      <w:r>
        <w:rPr>
          <w:rFonts w:hint="eastAsia"/>
          <w:lang w:val="en-US" w:eastAsia="zh-CN"/>
        </w:rPr>
        <w:t xml:space="preserve"> can be used for the enhancement on power domain and the enhancement on spatial domain.</w:t>
      </w:r>
      <w:bookmarkEnd w:id="181"/>
      <w:bookmarkEnd w:id="182"/>
      <w:bookmarkEnd w:id="183"/>
      <w:bookmarkEnd w:id="184"/>
      <w:bookmarkEnd w:id="185"/>
      <w:bookmarkEnd w:id="186"/>
      <w:bookmarkEnd w:id="187"/>
      <w:bookmarkEnd w:id="188"/>
      <w:bookmarkEnd w:id="189"/>
      <w:r>
        <w:rPr>
          <w:rFonts w:hint="eastAsia"/>
          <w:lang w:val="en-US" w:eastAsia="zh-CN"/>
        </w:rPr>
        <w:t xml:space="preserve"> </w:t>
      </w:r>
    </w:p>
    <w:p>
      <w:pPr>
        <w:spacing w:before="120" w:after="120"/>
        <w:rPr>
          <w:iCs/>
        </w:rPr>
      </w:pPr>
      <w:r>
        <w:rPr>
          <w:rFonts w:hint="eastAsia"/>
          <w:iCs/>
        </w:rPr>
        <w:t xml:space="preserve">In </w:t>
      </w:r>
      <w:r>
        <w:rPr>
          <w:rFonts w:hint="eastAsia"/>
          <w:szCs w:val="21"/>
        </w:rPr>
        <w:t xml:space="preserve">3GPP RAN1#112 meeting, the enhancements on </w:t>
      </w:r>
      <w:r>
        <w:rPr>
          <w:rFonts w:hint="eastAsia"/>
          <w:iCs/>
        </w:rPr>
        <w:t xml:space="preserve">CSI related procedures in </w:t>
      </w:r>
      <w:r>
        <w:rPr>
          <w:rFonts w:hint="eastAsia"/>
          <w:szCs w:val="21"/>
        </w:rPr>
        <w:t>power domain was discussed. From the discussion</w:t>
      </w:r>
      <w:r>
        <w:rPr>
          <w:szCs w:val="21"/>
        </w:rPr>
        <w:t>,</w:t>
      </w:r>
      <w:r>
        <w:rPr>
          <w:rFonts w:hint="eastAsia"/>
          <w:szCs w:val="21"/>
        </w:rPr>
        <w:t xml:space="preserve"> it can be learned that </w:t>
      </w:r>
      <w:r>
        <w:rPr>
          <w:szCs w:val="21"/>
        </w:rPr>
        <w:t>multiple power offset values</w:t>
      </w:r>
      <w:r>
        <w:rPr>
          <w:rFonts w:hint="eastAsia"/>
          <w:szCs w:val="21"/>
        </w:rPr>
        <w:t xml:space="preserve"> </w:t>
      </w:r>
      <w:r>
        <w:rPr>
          <w:rFonts w:hint="eastAsia"/>
          <w:iCs/>
        </w:rPr>
        <w:t>between PDSCH and CSI-RS should be configured to match different power adaptation cases.</w:t>
      </w:r>
    </w:p>
    <w:p>
      <w:pPr>
        <w:spacing w:before="120" w:after="120"/>
      </w:pPr>
      <w:r>
        <w:rPr>
          <w:szCs w:val="24"/>
        </w:rPr>
        <w:t xml:space="preserve">Obviously, when </w:t>
      </w:r>
      <w:r>
        <w:rPr>
          <w:szCs w:val="21"/>
        </w:rPr>
        <w:t>multiple power offset values</w:t>
      </w:r>
      <w:r>
        <w:rPr>
          <w:rFonts w:hint="eastAsia"/>
          <w:szCs w:val="21"/>
        </w:rPr>
        <w:t xml:space="preserve"> are configured</w:t>
      </w:r>
      <w:r>
        <w:t xml:space="preserve">, </w:t>
      </w:r>
      <w:r>
        <w:rPr>
          <w:rFonts w:hint="eastAsia"/>
        </w:rPr>
        <w:t xml:space="preserve">UE can perform </w:t>
      </w:r>
      <w:r>
        <w:t xml:space="preserve">CSI measurements </w:t>
      </w:r>
      <w:r>
        <w:rPr>
          <w:rFonts w:hint="eastAsia"/>
        </w:rPr>
        <w:t>and derive CSI feedback using</w:t>
      </w:r>
      <w:r>
        <w:t xml:space="preserve"> different power offset</w:t>
      </w:r>
      <w:r>
        <w:rPr>
          <w:rFonts w:hint="eastAsia"/>
        </w:rPr>
        <w:t xml:space="preserve"> values</w:t>
      </w:r>
      <w:r>
        <w:t>.</w:t>
      </w:r>
      <w:r>
        <w:rPr>
          <w:rFonts w:hint="eastAsia"/>
        </w:rPr>
        <w:t xml:space="preserve"> To ensure that the gNB can capture a relatively accurate CSI feedback results when dynamic power adjustment is performed, both m</w:t>
      </w:r>
      <w:r>
        <w:t>ulti-CSI report with different power offset</w:t>
      </w:r>
      <w:r>
        <w:rPr>
          <w:rFonts w:hint="eastAsia"/>
        </w:rPr>
        <w:t xml:space="preserve"> values and d</w:t>
      </w:r>
      <w:r>
        <w:t>ynamic indication of the power offset</w:t>
      </w:r>
      <w:r>
        <w:rPr>
          <w:rFonts w:hint="eastAsia"/>
        </w:rPr>
        <w:t xml:space="preserve"> values</w:t>
      </w:r>
      <w:r>
        <w:t xml:space="preserve"> can be considered.</w:t>
      </w:r>
    </w:p>
    <w:p>
      <w:pPr>
        <w:pStyle w:val="30"/>
        <w:tabs>
          <w:tab w:val="clear" w:pos="0"/>
          <w:tab w:val="clear" w:pos="420"/>
          <w:tab w:val="clear" w:pos="4820"/>
        </w:tabs>
        <w:adjustRightInd w:val="0"/>
        <w:snapToGrid w:val="0"/>
        <w:spacing w:before="120" w:after="120"/>
        <w:rPr>
          <w:iCs/>
          <w:lang w:val="en-US" w:eastAsia="zh-CN"/>
        </w:rPr>
      </w:pPr>
      <w:bookmarkStart w:id="190" w:name="_Toc32444"/>
      <w:bookmarkStart w:id="191" w:name="_Toc1143"/>
      <w:bookmarkStart w:id="192" w:name="_Toc31039"/>
      <w:bookmarkStart w:id="193" w:name="_Toc12151"/>
      <w:r>
        <w:rPr>
          <w:rFonts w:hint="eastAsia"/>
          <w:lang w:val="en-US" w:eastAsia="zh-CN"/>
        </w:rPr>
        <w:t>Both the m</w:t>
      </w:r>
      <w:r>
        <w:t>ulti-CSI report with different power offset</w:t>
      </w:r>
      <w:r>
        <w:rPr>
          <w:rFonts w:hint="eastAsia"/>
          <w:lang w:val="en-US" w:eastAsia="zh-CN"/>
        </w:rPr>
        <w:t xml:space="preserve"> values and the d</w:t>
      </w:r>
      <w:r>
        <w:t>ynamic indication of the power offset</w:t>
      </w:r>
      <w:r>
        <w:rPr>
          <w:rFonts w:hint="eastAsia"/>
          <w:lang w:val="en-US" w:eastAsia="zh-CN"/>
        </w:rPr>
        <w:t xml:space="preserve"> values</w:t>
      </w:r>
      <w:r>
        <w:t xml:space="preserve"> </w:t>
      </w:r>
      <w:r>
        <w:rPr>
          <w:rFonts w:hint="eastAsia"/>
          <w:lang w:val="en-US" w:eastAsia="zh-CN"/>
        </w:rPr>
        <w:t>is beneficial for the gNB to capture a relatively accurate CSI feedback</w:t>
      </w:r>
      <w:r>
        <w:rPr>
          <w:rFonts w:hint="eastAsia"/>
          <w:iCs/>
          <w:lang w:val="en-US" w:eastAsia="zh-CN"/>
        </w:rPr>
        <w:t>.</w:t>
      </w:r>
      <w:bookmarkEnd w:id="190"/>
      <w:bookmarkEnd w:id="191"/>
      <w:bookmarkEnd w:id="192"/>
      <w:bookmarkEnd w:id="193"/>
    </w:p>
    <w:p>
      <w:pPr>
        <w:spacing w:before="120" w:after="120"/>
      </w:pPr>
      <w:r>
        <w:rPr>
          <w:rFonts w:hint="eastAsia"/>
          <w:iCs/>
        </w:rPr>
        <w:t xml:space="preserve">For multi-CSI report with multiple CSI measurement results corresponding to different </w:t>
      </w:r>
      <w:r>
        <w:t>power offset</w:t>
      </w:r>
      <w:r>
        <w:rPr>
          <w:rFonts w:hint="eastAsia"/>
        </w:rPr>
        <w:t xml:space="preserve"> values, the reporting information can be used to </w:t>
      </w:r>
      <w:r>
        <w:t xml:space="preserve">guarantee the network obtain the </w:t>
      </w:r>
      <w:r>
        <w:rPr>
          <w:iCs/>
        </w:rPr>
        <w:t xml:space="preserve">proper/accurate CSI measurement results and assist </w:t>
      </w:r>
      <w:r>
        <w:t>the network for the dynamic transmission power adjustment</w:t>
      </w:r>
      <w:r>
        <w:rPr>
          <w:bCs/>
        </w:rPr>
        <w:t>.</w:t>
      </w:r>
      <w:r>
        <w:rPr>
          <w:rFonts w:hint="eastAsia"/>
          <w:bCs/>
        </w:rPr>
        <w:t xml:space="preserve"> </w:t>
      </w:r>
      <w:r>
        <w:rPr>
          <w:rFonts w:hint="eastAsia"/>
        </w:rPr>
        <w:t>Therefore</w:t>
      </w:r>
      <w:r>
        <w:t xml:space="preserve">, </w:t>
      </w:r>
      <w:r>
        <w:rPr>
          <w:rFonts w:hint="eastAsia"/>
        </w:rPr>
        <w:t xml:space="preserve">an </w:t>
      </w:r>
      <w:r>
        <w:t xml:space="preserve">enhanced CSI measurement and CSI report with multi-CSI reporting </w:t>
      </w:r>
      <w:r>
        <w:rPr>
          <w:rFonts w:hint="eastAsia"/>
        </w:rPr>
        <w:t>can be supported</w:t>
      </w:r>
      <w:r>
        <w:t>.</w:t>
      </w:r>
    </w:p>
    <w:p>
      <w:pPr>
        <w:pStyle w:val="30"/>
        <w:tabs>
          <w:tab w:val="clear" w:pos="0"/>
          <w:tab w:val="clear" w:pos="420"/>
        </w:tabs>
        <w:adjustRightInd w:val="0"/>
        <w:snapToGrid w:val="0"/>
        <w:spacing w:before="120" w:after="120"/>
        <w:rPr>
          <w:lang w:val="en-US" w:eastAsia="zh-CN"/>
        </w:rPr>
      </w:pPr>
      <w:r>
        <w:rPr>
          <w:lang w:val="en-US" w:eastAsia="zh-CN"/>
        </w:rPr>
        <w:t xml:space="preserve"> </w:t>
      </w:r>
      <w:bookmarkStart w:id="194" w:name="_Toc15466"/>
      <w:bookmarkStart w:id="195" w:name="_Toc11490"/>
      <w:bookmarkStart w:id="196" w:name="_Toc26075"/>
      <w:bookmarkStart w:id="197" w:name="_Toc5568"/>
      <w:r>
        <w:rPr>
          <w:lang w:val="en-US" w:eastAsia="zh-CN"/>
        </w:rPr>
        <w:t>Enhanced CSI measurement and CSI report with multi-CSI reporting corresponding to different power offset</w:t>
      </w:r>
      <w:r>
        <w:rPr>
          <w:rFonts w:hint="eastAsia"/>
          <w:lang w:val="en-US" w:eastAsia="zh-CN"/>
        </w:rPr>
        <w:t xml:space="preserve"> values</w:t>
      </w:r>
      <w:r>
        <w:rPr>
          <w:lang w:val="en-US" w:eastAsia="zh-CN"/>
        </w:rPr>
        <w:t xml:space="preserve"> are beneficial for the network to dynamically adjust transmission power.</w:t>
      </w:r>
      <w:bookmarkEnd w:id="194"/>
      <w:bookmarkEnd w:id="195"/>
      <w:bookmarkEnd w:id="196"/>
      <w:bookmarkEnd w:id="197"/>
    </w:p>
    <w:p>
      <w:pPr>
        <w:pStyle w:val="31"/>
        <w:tabs>
          <w:tab w:val="left" w:pos="1417"/>
          <w:tab w:val="clear" w:pos="0"/>
        </w:tabs>
        <w:spacing w:before="120" w:after="120"/>
        <w:rPr>
          <w:lang w:val="en-US" w:eastAsia="zh-CN"/>
        </w:rPr>
      </w:pPr>
      <w:r>
        <w:rPr>
          <w:lang w:val="en-US" w:eastAsia="zh-CN"/>
        </w:rPr>
        <w:t xml:space="preserve"> </w:t>
      </w:r>
      <w:bookmarkStart w:id="198" w:name="_Toc2635"/>
      <w:bookmarkStart w:id="199" w:name="_Toc9643"/>
      <w:bookmarkStart w:id="200" w:name="_Toc11778"/>
      <w:bookmarkStart w:id="201" w:name="_Toc10637"/>
      <w:bookmarkStart w:id="202" w:name="_Toc25863"/>
      <w:bookmarkStart w:id="203" w:name="_Toc23875"/>
      <w:bookmarkStart w:id="204" w:name="_Toc22848"/>
      <w:bookmarkStart w:id="205" w:name="_Toc1128"/>
      <w:bookmarkStart w:id="206" w:name="_Toc131790369"/>
      <w:r>
        <w:rPr>
          <w:lang w:val="en-US" w:eastAsia="zh-CN"/>
        </w:rPr>
        <w:t>Multi-CSI report with multiple power offset</w:t>
      </w:r>
      <w:r>
        <w:rPr>
          <w:rFonts w:hint="eastAsia"/>
          <w:lang w:val="en-US" w:eastAsia="zh-CN"/>
        </w:rPr>
        <w:t xml:space="preserve"> values</w:t>
      </w:r>
      <w:r>
        <w:rPr>
          <w:lang w:val="en-US" w:eastAsia="zh-CN"/>
        </w:rPr>
        <w:t xml:space="preserve"> between PDSCH and CSI-RS should be supported.</w:t>
      </w:r>
      <w:bookmarkEnd w:id="198"/>
      <w:bookmarkEnd w:id="199"/>
      <w:bookmarkEnd w:id="200"/>
      <w:bookmarkEnd w:id="201"/>
      <w:bookmarkEnd w:id="202"/>
      <w:bookmarkEnd w:id="203"/>
      <w:bookmarkEnd w:id="204"/>
      <w:bookmarkEnd w:id="205"/>
      <w:bookmarkEnd w:id="206"/>
    </w:p>
    <w:p>
      <w:pPr>
        <w:spacing w:before="120" w:after="120"/>
        <w:rPr>
          <w:szCs w:val="21"/>
        </w:rPr>
      </w:pPr>
      <w:r>
        <w:rPr>
          <w:rFonts w:hint="eastAsia"/>
          <w:szCs w:val="21"/>
        </w:rPr>
        <w:t xml:space="preserve">To reduce the overhead caused by multi-CSI report, one effective method is to set multiple CSIs reported in one report. In this way, </w:t>
      </w:r>
      <w:r>
        <w:rPr>
          <w:szCs w:val="21"/>
        </w:rPr>
        <w:t>duplicated</w:t>
      </w:r>
      <w:r>
        <w:rPr>
          <w:rFonts w:hint="eastAsia"/>
          <w:szCs w:val="21"/>
        </w:rPr>
        <w:t xml:space="preserve"> </w:t>
      </w:r>
      <w:r>
        <w:rPr>
          <w:szCs w:val="21"/>
        </w:rPr>
        <w:t>information</w:t>
      </w:r>
      <w:r>
        <w:rPr>
          <w:rFonts w:hint="eastAsia"/>
          <w:szCs w:val="21"/>
        </w:rPr>
        <w:t xml:space="preserve"> of the measurement results that is not affected by the power offset values can be </w:t>
      </w:r>
      <w:r>
        <w:rPr>
          <w:szCs w:val="21"/>
        </w:rPr>
        <w:t>reduced</w:t>
      </w:r>
      <w:r>
        <w:rPr>
          <w:rFonts w:hint="eastAsia"/>
          <w:szCs w:val="21"/>
        </w:rPr>
        <w:t xml:space="preserve">, thereby reducing the reporting overhead. </w:t>
      </w:r>
    </w:p>
    <w:p>
      <w:pPr>
        <w:spacing w:before="120" w:after="120"/>
        <w:rPr>
          <w:szCs w:val="21"/>
        </w:rPr>
      </w:pPr>
      <w:r>
        <w:rPr>
          <w:rFonts w:hint="eastAsia"/>
          <w:szCs w:val="21"/>
        </w:rPr>
        <w:t xml:space="preserve">In addition, </w:t>
      </w:r>
      <w:r>
        <w:rPr>
          <w:szCs w:val="21"/>
        </w:rPr>
        <w:t>since the power offset of the CSI-RS and PDSCH is only used to CQ</w:t>
      </w:r>
      <w:r>
        <w:rPr>
          <w:rFonts w:hint="eastAsia"/>
          <w:szCs w:val="21"/>
        </w:rPr>
        <w:t>I</w:t>
      </w:r>
      <w:r>
        <w:rPr>
          <w:szCs w:val="21"/>
        </w:rPr>
        <w:t xml:space="preserve"> </w:t>
      </w:r>
      <w:r>
        <w:rPr>
          <w:rFonts w:hint="eastAsia"/>
          <w:szCs w:val="21"/>
        </w:rPr>
        <w:t>calculation</w:t>
      </w:r>
      <w:r>
        <w:rPr>
          <w:szCs w:val="21"/>
        </w:rPr>
        <w:t xml:space="preserve">, the PMI and RI of different power offsets are the same. Therefore, </w:t>
      </w:r>
      <w:r>
        <w:rPr>
          <w:rFonts w:hint="eastAsia"/>
          <w:szCs w:val="21"/>
        </w:rPr>
        <w:t xml:space="preserve">differential CQI can be used to further reduce the </w:t>
      </w:r>
      <w:r>
        <w:rPr>
          <w:szCs w:val="21"/>
        </w:rPr>
        <w:t>UCI</w:t>
      </w:r>
      <w:r>
        <w:rPr>
          <w:rFonts w:hint="eastAsia"/>
          <w:szCs w:val="21"/>
        </w:rPr>
        <w:t xml:space="preserve"> overhead</w:t>
      </w:r>
      <w:r>
        <w:rPr>
          <w:szCs w:val="21"/>
        </w:rPr>
        <w:t xml:space="preserve"> of multi-CSI in one reporting</w:t>
      </w:r>
      <w:r>
        <w:rPr>
          <w:rFonts w:hint="eastAsia"/>
          <w:szCs w:val="21"/>
        </w:rPr>
        <w:t xml:space="preserve">. </w:t>
      </w:r>
    </w:p>
    <w:p>
      <w:pPr>
        <w:pStyle w:val="31"/>
        <w:tabs>
          <w:tab w:val="left" w:pos="1417"/>
          <w:tab w:val="clear" w:pos="0"/>
        </w:tabs>
        <w:spacing w:before="120" w:after="120"/>
        <w:rPr>
          <w:lang w:val="en-US" w:eastAsia="zh-CN"/>
        </w:rPr>
      </w:pPr>
      <w:bookmarkStart w:id="207" w:name="_Toc131790370"/>
      <w:bookmarkStart w:id="208" w:name="_Toc11000"/>
      <w:bookmarkStart w:id="209" w:name="_Toc12451"/>
      <w:bookmarkStart w:id="210" w:name="_Toc22476"/>
      <w:bookmarkStart w:id="211" w:name="_Toc8594"/>
      <w:bookmarkStart w:id="212" w:name="_Toc7350"/>
      <w:bookmarkStart w:id="213" w:name="_Toc2334"/>
      <w:bookmarkStart w:id="214" w:name="_Toc1214"/>
      <w:bookmarkStart w:id="215" w:name="_Toc16371"/>
      <w:r>
        <w:rPr>
          <w:rFonts w:hint="eastAsia"/>
          <w:lang w:val="en-US" w:eastAsia="zh-CN"/>
        </w:rPr>
        <w:t xml:space="preserve">Differential CQI </w:t>
      </w:r>
      <w:r>
        <w:rPr>
          <w:lang w:val="en-US" w:eastAsia="zh-CN"/>
        </w:rPr>
        <w:t>should be</w:t>
      </w:r>
      <w:r>
        <w:rPr>
          <w:rFonts w:hint="eastAsia"/>
          <w:lang w:val="en-US" w:eastAsia="zh-CN"/>
        </w:rPr>
        <w:t xml:space="preserve"> can be adopted</w:t>
      </w:r>
      <w:r>
        <w:rPr>
          <w:lang w:val="en-US" w:eastAsia="zh-CN"/>
        </w:rPr>
        <w:t xml:space="preserve"> for </w:t>
      </w:r>
      <w:r>
        <w:t xml:space="preserve">multi-CSI in one reporting </w:t>
      </w:r>
      <w:r>
        <w:rPr>
          <w:lang w:val="en-US" w:eastAsia="zh-CN"/>
        </w:rPr>
        <w:t>with multiple power offset</w:t>
      </w:r>
      <w:r>
        <w:rPr>
          <w:rFonts w:hint="eastAsia"/>
          <w:lang w:val="en-US" w:eastAsia="zh-CN"/>
        </w:rPr>
        <w:t xml:space="preserve"> values.</w:t>
      </w:r>
      <w:bookmarkEnd w:id="207"/>
      <w:bookmarkEnd w:id="208"/>
      <w:bookmarkEnd w:id="209"/>
      <w:bookmarkEnd w:id="210"/>
      <w:bookmarkEnd w:id="211"/>
      <w:bookmarkEnd w:id="212"/>
      <w:bookmarkEnd w:id="213"/>
      <w:bookmarkEnd w:id="214"/>
      <w:bookmarkEnd w:id="215"/>
    </w:p>
    <w:p>
      <w:pPr>
        <w:spacing w:before="120" w:after="120"/>
      </w:pPr>
      <w:r>
        <w:rPr>
          <w:rFonts w:hint="eastAsia"/>
          <w:szCs w:val="21"/>
        </w:rPr>
        <w:t>For CSI-RS resource configurations, each CSI-RS resource/resource set/resource setting can be associated with one or more power offset values, which can reduce the signaling overhead. For example,</w:t>
      </w:r>
      <w:r>
        <w:rPr>
          <w:szCs w:val="21"/>
        </w:rPr>
        <w:t xml:space="preserve"> </w:t>
      </w:r>
      <w:r>
        <w:t>multiple</w:t>
      </w:r>
      <w:r>
        <w:rPr>
          <w:rFonts w:hint="eastAsia"/>
        </w:rPr>
        <w:t xml:space="preserve"> </w:t>
      </w:r>
      <w:r>
        <w:t>power offset</w:t>
      </w:r>
      <w:r>
        <w:rPr>
          <w:rFonts w:hint="eastAsia"/>
        </w:rPr>
        <w:t xml:space="preserve"> values</w:t>
      </w:r>
      <w:r>
        <w:t xml:space="preserve"> can be configured </w:t>
      </w:r>
      <w:r>
        <w:rPr>
          <w:rFonts w:hint="eastAsia"/>
        </w:rPr>
        <w:t xml:space="preserve">as a list </w:t>
      </w:r>
      <w:r>
        <w:t>within one NZP-CSI-RS resource or multiple</w:t>
      </w:r>
      <w:r>
        <w:rPr>
          <w:rFonts w:hint="eastAsia"/>
        </w:rPr>
        <w:t xml:space="preserve"> </w:t>
      </w:r>
      <w:r>
        <w:t>power offset</w:t>
      </w:r>
      <w:r>
        <w:rPr>
          <w:rFonts w:hint="eastAsia"/>
        </w:rPr>
        <w:t xml:space="preserve"> values</w:t>
      </w:r>
      <w:r>
        <w:t xml:space="preserve"> can be configured</w:t>
      </w:r>
      <w:r>
        <w:rPr>
          <w:rFonts w:hint="eastAsia"/>
        </w:rPr>
        <w:t xml:space="preserve"> in </w:t>
      </w:r>
      <w:r>
        <w:t>multiple CSI-RS resources</w:t>
      </w:r>
      <w:r>
        <w:rPr>
          <w:rFonts w:hint="eastAsia"/>
        </w:rPr>
        <w:t xml:space="preserve"> within one </w:t>
      </w:r>
      <w:r>
        <w:rPr>
          <w:rFonts w:hint="eastAsia"/>
          <w:i/>
          <w:iCs/>
        </w:rPr>
        <w:t>CSI-ResourceConfig</w:t>
      </w:r>
      <w:r>
        <w:t xml:space="preserve">. </w:t>
      </w:r>
      <w:r>
        <w:rPr>
          <w:rFonts w:hint="eastAsia"/>
        </w:rPr>
        <w:t xml:space="preserve">UE can perform CSI measurement </w:t>
      </w:r>
      <w:r>
        <w:t>and reporting</w:t>
      </w:r>
      <w:r>
        <w:rPr>
          <w:rFonts w:hint="eastAsia"/>
        </w:rPr>
        <w:t xml:space="preserve"> with different power offset values using the same CSI-RS resources or different CSI-RS resources.</w:t>
      </w:r>
    </w:p>
    <w:p>
      <w:pPr>
        <w:pStyle w:val="30"/>
        <w:tabs>
          <w:tab w:val="clear" w:pos="0"/>
          <w:tab w:val="clear" w:pos="420"/>
        </w:tabs>
        <w:adjustRightInd w:val="0"/>
        <w:snapToGrid w:val="0"/>
        <w:spacing w:before="120" w:after="120"/>
        <w:rPr>
          <w:rFonts w:eastAsia="宋体"/>
          <w:lang w:val="en-US" w:eastAsia="zh-CN"/>
        </w:rPr>
      </w:pPr>
      <w:bookmarkStart w:id="216" w:name="_Toc9229"/>
      <w:bookmarkStart w:id="217" w:name="_Toc23212"/>
      <w:bookmarkStart w:id="218" w:name="_Toc4704"/>
      <w:bookmarkStart w:id="219" w:name="_Toc13668"/>
      <w:r>
        <w:rPr>
          <w:rFonts w:hint="eastAsia"/>
          <w:lang w:val="en-US" w:eastAsia="zh-CN"/>
        </w:rPr>
        <w:t>Each CSI-RS resource/resource set/resource setting can be associated with one or more power offset values.</w:t>
      </w:r>
      <w:bookmarkEnd w:id="216"/>
      <w:bookmarkEnd w:id="217"/>
      <w:bookmarkEnd w:id="218"/>
      <w:bookmarkEnd w:id="219"/>
    </w:p>
    <w:p>
      <w:pPr>
        <w:spacing w:before="120" w:after="120"/>
      </w:pPr>
      <w:r>
        <w:rPr>
          <w:rFonts w:hint="eastAsia"/>
          <w:iCs/>
        </w:rPr>
        <w:t xml:space="preserve">Besides, the </w:t>
      </w:r>
      <w:r>
        <w:t xml:space="preserve">dynamic indication </w:t>
      </w:r>
      <w:r>
        <w:rPr>
          <w:rFonts w:hint="eastAsia"/>
        </w:rPr>
        <w:t>can also be used to</w:t>
      </w:r>
      <w:r>
        <w:t xml:space="preserve"> compensate for an inaccurate CSI feedback caused by dynamic power adjustment</w:t>
      </w:r>
      <w:r>
        <w:rPr>
          <w:rFonts w:hint="eastAsia"/>
        </w:rPr>
        <w:t xml:space="preserve">. The indication information can be activation/deactivation of one or more power offset values. UEs can adjust CSI measurement and reporting by the indication information to adapt to the dynamic power adjustment. </w:t>
      </w:r>
    </w:p>
    <w:p>
      <w:pPr>
        <w:pStyle w:val="31"/>
        <w:tabs>
          <w:tab w:val="left" w:pos="1417"/>
          <w:tab w:val="clear" w:pos="0"/>
        </w:tabs>
        <w:spacing w:before="120" w:after="120"/>
      </w:pPr>
      <w:bookmarkStart w:id="220" w:name="_Toc18058"/>
      <w:bookmarkStart w:id="221" w:name="_Toc22918"/>
      <w:bookmarkStart w:id="222" w:name="_Toc28536"/>
      <w:bookmarkStart w:id="223" w:name="_Toc19474"/>
      <w:bookmarkStart w:id="224" w:name="_Toc19601"/>
      <w:bookmarkStart w:id="225" w:name="_Toc19387"/>
      <w:bookmarkStart w:id="226" w:name="_Toc18009"/>
      <w:bookmarkStart w:id="227" w:name="_Toc131790371"/>
      <w:bookmarkStart w:id="228" w:name="_Toc16256"/>
      <w:r>
        <w:rPr>
          <w:rFonts w:hint="eastAsia"/>
          <w:lang w:val="en-US" w:eastAsia="zh-CN"/>
        </w:rPr>
        <w:t>D</w:t>
      </w:r>
      <w:r>
        <w:t>ynamic indication</w:t>
      </w:r>
      <w:r>
        <w:rPr>
          <w:rFonts w:hint="eastAsia"/>
          <w:lang w:val="en-US" w:eastAsia="zh-CN"/>
        </w:rPr>
        <w:t xml:space="preserve"> can be considered for power domain enhancement.</w:t>
      </w:r>
      <w:bookmarkEnd w:id="220"/>
      <w:bookmarkEnd w:id="221"/>
      <w:bookmarkEnd w:id="222"/>
      <w:bookmarkEnd w:id="223"/>
      <w:bookmarkEnd w:id="224"/>
      <w:bookmarkEnd w:id="225"/>
      <w:bookmarkEnd w:id="226"/>
      <w:bookmarkEnd w:id="227"/>
      <w:bookmarkEnd w:id="228"/>
    </w:p>
    <w:p>
      <w:pPr>
        <w:spacing w:before="120" w:after="120"/>
      </w:pPr>
    </w:p>
    <w:p>
      <w:pPr>
        <w:pStyle w:val="2"/>
        <w:numPr>
          <w:ilvl w:val="0"/>
          <w:numId w:val="9"/>
        </w:numPr>
        <w:spacing w:before="120" w:after="120"/>
        <w:rPr>
          <w:rFonts w:ascii="Times New Roman" w:hAnsi="Times New Roman" w:eastAsia="宋体"/>
          <w:b/>
          <w:bCs/>
          <w:sz w:val="28"/>
          <w:szCs w:val="28"/>
        </w:rPr>
      </w:pPr>
      <w:r>
        <w:rPr>
          <w:rFonts w:ascii="Times New Roman" w:hAnsi="Times New Roman" w:eastAsia="宋体"/>
          <w:b/>
          <w:bCs/>
          <w:sz w:val="28"/>
          <w:szCs w:val="28"/>
        </w:rPr>
        <w:t>Conclusion</w:t>
      </w:r>
    </w:p>
    <w:p>
      <w:pPr>
        <w:spacing w:before="120" w:after="120"/>
        <w:rPr>
          <w:szCs w:val="22"/>
        </w:rPr>
      </w:pPr>
      <w:r>
        <w:rPr>
          <w:szCs w:val="22"/>
        </w:rPr>
        <w:t xml:space="preserve">In this contribution, we discuss the network energy saving techniques </w:t>
      </w:r>
      <w:r>
        <w:rPr>
          <w:rFonts w:hint="eastAsia"/>
          <w:szCs w:val="22"/>
        </w:rPr>
        <w:t xml:space="preserve">in spatial and power domain </w:t>
      </w:r>
      <w:r>
        <w:rPr>
          <w:szCs w:val="22"/>
        </w:rPr>
        <w:t>and have the following observations and proposals.</w:t>
      </w:r>
    </w:p>
    <w:p>
      <w:pPr>
        <w:pStyle w:val="13"/>
        <w:tabs>
          <w:tab w:val="right" w:leader="dot" w:pos="9660"/>
          <w:tab w:val="clear" w:pos="0"/>
        </w:tabs>
        <w:spacing w:before="120" w:after="120"/>
      </w:pPr>
      <w:r>
        <w:rPr>
          <w:iCs w:val="0"/>
          <w:szCs w:val="21"/>
        </w:rPr>
        <w:fldChar w:fldCharType="begin"/>
      </w:r>
      <w:r>
        <w:rPr>
          <w:iCs w:val="0"/>
          <w:szCs w:val="21"/>
        </w:rPr>
        <w:instrText xml:space="preserve">TOC \n  \t "YJ-Observation,1,sub-observation,2,3rd level observation,3" \h</w:instrText>
      </w:r>
      <w:r>
        <w:rPr>
          <w:iCs w:val="0"/>
          <w:szCs w:val="21"/>
        </w:rPr>
        <w:fldChar w:fldCharType="separate"/>
      </w:r>
      <w:r>
        <w:fldChar w:fldCharType="begin"/>
      </w:r>
      <w:r>
        <w:instrText xml:space="preserve"> HYPERLINK \l "_Toc5756" </w:instrText>
      </w:r>
      <w:r>
        <w:fldChar w:fldCharType="separate"/>
      </w:r>
      <w:r>
        <w:rPr>
          <w:rFonts w:eastAsia="宋体"/>
          <w:iCs w:val="0"/>
          <w:szCs w:val="21"/>
        </w:rPr>
        <w:t xml:space="preserve">Observation 1: </w:t>
      </w:r>
      <w:r>
        <w:rPr>
          <w:rFonts w:hint="eastAsia"/>
        </w:rPr>
        <w:t xml:space="preserve">Multi-CSI report provides </w:t>
      </w:r>
      <w:r>
        <w:t xml:space="preserve">additional </w:t>
      </w:r>
      <w:r>
        <w:rPr>
          <w:rFonts w:hint="eastAsia"/>
        </w:rPr>
        <w:t>17.36% ESG</w:t>
      </w:r>
      <w:r>
        <w:t xml:space="preserve"> and less UPT loss</w:t>
      </w:r>
      <w:r>
        <w:rPr>
          <w:rFonts w:hint="eastAsia"/>
        </w:rPr>
        <w:t xml:space="preserve"> compared with single CSI report.</w:t>
      </w:r>
      <w:r>
        <w:rPr>
          <w:rFonts w:hint="eastAsia"/>
        </w:rPr>
        <w:fldChar w:fldCharType="end"/>
      </w:r>
    </w:p>
    <w:p>
      <w:pPr>
        <w:pStyle w:val="13"/>
        <w:tabs>
          <w:tab w:val="right" w:leader="dot" w:pos="9660"/>
          <w:tab w:val="clear" w:pos="0"/>
        </w:tabs>
        <w:spacing w:before="120" w:after="120"/>
      </w:pPr>
      <w:r>
        <w:fldChar w:fldCharType="begin"/>
      </w:r>
      <w:r>
        <w:instrText xml:space="preserve"> HYPERLINK \l "_Toc7313" </w:instrText>
      </w:r>
      <w:r>
        <w:fldChar w:fldCharType="separate"/>
      </w:r>
      <w:r>
        <w:rPr>
          <w:rFonts w:eastAsia="宋体"/>
          <w:iCs w:val="0"/>
          <w:szCs w:val="21"/>
        </w:rPr>
        <w:t xml:space="preserve">Observation 2: </w:t>
      </w:r>
      <w:r>
        <w:rPr>
          <w:rFonts w:hint="eastAsia"/>
        </w:rPr>
        <w:t>For A1-2 with nested structure for CSI-measurement, it has the following benefits:</w:t>
      </w:r>
      <w:r>
        <w:rPr>
          <w:rFonts w:hint="eastAsia"/>
        </w:rPr>
        <w:fldChar w:fldCharType="end"/>
      </w:r>
    </w:p>
    <w:p>
      <w:pPr>
        <w:pStyle w:val="13"/>
        <w:numPr>
          <w:ilvl w:val="0"/>
          <w:numId w:val="18"/>
        </w:numPr>
        <w:tabs>
          <w:tab w:val="right" w:leader="dot" w:pos="9660"/>
          <w:tab w:val="clear" w:pos="0"/>
        </w:tabs>
        <w:spacing w:before="120" w:after="120"/>
      </w:pPr>
      <w:r>
        <w:fldChar w:fldCharType="begin"/>
      </w:r>
      <w:r>
        <w:instrText xml:space="preserve"> HYPERLINK \l "_Toc8551" </w:instrText>
      </w:r>
      <w:r>
        <w:fldChar w:fldCharType="separate"/>
      </w:r>
      <w:r>
        <w:rPr>
          <w:rFonts w:hint="eastAsia"/>
        </w:rPr>
        <w:t>Less overhead of both RRC signaling and CSI-RS transmission</w:t>
      </w:r>
      <w:r>
        <w:rPr>
          <w:rFonts w:hint="eastAsia"/>
        </w:rPr>
        <w:fldChar w:fldCharType="end"/>
      </w:r>
    </w:p>
    <w:p>
      <w:pPr>
        <w:pStyle w:val="13"/>
        <w:numPr>
          <w:ilvl w:val="0"/>
          <w:numId w:val="18"/>
        </w:numPr>
        <w:tabs>
          <w:tab w:val="right" w:leader="dot" w:pos="9660"/>
          <w:tab w:val="clear" w:pos="0"/>
        </w:tabs>
        <w:spacing w:before="120" w:after="120"/>
      </w:pPr>
      <w:r>
        <w:fldChar w:fldCharType="begin"/>
      </w:r>
      <w:r>
        <w:instrText xml:space="preserve"> HYPERLINK \l "_Toc22354" </w:instrText>
      </w:r>
      <w:r>
        <w:fldChar w:fldCharType="separate"/>
      </w:r>
      <w:r>
        <w:rPr>
          <w:rFonts w:hint="eastAsia"/>
        </w:rPr>
        <w:t>More network energy saving</w:t>
      </w:r>
      <w:r>
        <w:t xml:space="preserve"> with less DL transmission</w:t>
      </w:r>
      <w:r>
        <w:fldChar w:fldCharType="end"/>
      </w:r>
    </w:p>
    <w:p>
      <w:pPr>
        <w:pStyle w:val="13"/>
        <w:numPr>
          <w:ilvl w:val="0"/>
          <w:numId w:val="18"/>
        </w:numPr>
        <w:tabs>
          <w:tab w:val="right" w:leader="dot" w:pos="9660"/>
          <w:tab w:val="clear" w:pos="0"/>
        </w:tabs>
        <w:spacing w:before="120" w:after="120"/>
      </w:pPr>
      <w:r>
        <w:fldChar w:fldCharType="begin"/>
      </w:r>
      <w:r>
        <w:instrText xml:space="preserve"> HYPERLINK \l "_Toc2878" </w:instrText>
      </w:r>
      <w:r>
        <w:fldChar w:fldCharType="separate"/>
      </w:r>
      <w:r>
        <w:rPr>
          <w:rFonts w:hint="eastAsia"/>
        </w:rPr>
        <w:t>High correlation among multiple CSIs</w:t>
      </w:r>
      <w:r>
        <w:rPr>
          <w:rFonts w:hint="eastAsia"/>
        </w:rPr>
        <w:fldChar w:fldCharType="end"/>
      </w:r>
    </w:p>
    <w:p>
      <w:pPr>
        <w:pStyle w:val="13"/>
        <w:tabs>
          <w:tab w:val="right" w:leader="dot" w:pos="9660"/>
          <w:tab w:val="clear" w:pos="0"/>
        </w:tabs>
        <w:spacing w:before="120" w:after="120"/>
      </w:pPr>
      <w:r>
        <w:fldChar w:fldCharType="begin"/>
      </w:r>
      <w:r>
        <w:instrText xml:space="preserve"> HYPERLINK \l "_Toc17828" </w:instrText>
      </w:r>
      <w:r>
        <w:fldChar w:fldCharType="separate"/>
      </w:r>
      <w:r>
        <w:rPr>
          <w:rFonts w:eastAsia="宋体"/>
          <w:iCs w:val="0"/>
          <w:szCs w:val="21"/>
        </w:rPr>
        <w:t xml:space="preserve">Observation 3: </w:t>
      </w:r>
      <w:r>
        <w:rPr>
          <w:rFonts w:hint="eastAsia"/>
        </w:rPr>
        <w:t>The required CSI reports can be different in different time</w:t>
      </w:r>
      <w:r>
        <w:t xml:space="preserve"> period</w:t>
      </w:r>
      <w:r>
        <w:rPr>
          <w:rFonts w:hint="eastAsia"/>
          <w:lang w:val="en-US" w:eastAsia="zh-CN"/>
        </w:rPr>
        <w:t>s</w:t>
      </w:r>
      <w:r>
        <w:rPr>
          <w:rFonts w:hint="eastAsia"/>
        </w:rPr>
        <w:t xml:space="preserve">, and semi static configuration </w:t>
      </w:r>
      <w:r>
        <w:t>may not</w:t>
      </w:r>
      <w:r>
        <w:rPr>
          <w:rFonts w:hint="eastAsia"/>
        </w:rPr>
        <w:t xml:space="preserve"> satisfy the requirement</w:t>
      </w:r>
      <w:r>
        <w:rPr>
          <w:rFonts w:hint="eastAsia"/>
          <w:lang w:val="en-US" w:eastAsia="zh-CN"/>
        </w:rPr>
        <w:t>s</w:t>
      </w:r>
      <w:r>
        <w:rPr>
          <w:rFonts w:hint="eastAsia"/>
        </w:rPr>
        <w:t xml:space="preserve"> in time</w:t>
      </w:r>
      <w:r>
        <w:t>.</w:t>
      </w:r>
      <w:r>
        <w:fldChar w:fldCharType="end"/>
      </w:r>
    </w:p>
    <w:p>
      <w:pPr>
        <w:pStyle w:val="13"/>
        <w:tabs>
          <w:tab w:val="right" w:leader="dot" w:pos="9660"/>
          <w:tab w:val="clear" w:pos="0"/>
        </w:tabs>
        <w:spacing w:before="120" w:after="120"/>
      </w:pPr>
      <w:r>
        <w:fldChar w:fldCharType="begin"/>
      </w:r>
      <w:r>
        <w:instrText xml:space="preserve"> HYPERLINK \l "_Toc20062" </w:instrText>
      </w:r>
      <w:r>
        <w:fldChar w:fldCharType="separate"/>
      </w:r>
      <w:r>
        <w:rPr>
          <w:rFonts w:eastAsia="宋体"/>
          <w:iCs w:val="0"/>
          <w:szCs w:val="21"/>
        </w:rPr>
        <w:t xml:space="preserve">Observation 4: </w:t>
      </w:r>
      <w:r>
        <w:rPr>
          <w:rFonts w:hint="eastAsia"/>
        </w:rPr>
        <w:t xml:space="preserve">The overhead of PMI is </w:t>
      </w:r>
      <w:r>
        <w:t>determined by</w:t>
      </w:r>
      <w:r>
        <w:rPr>
          <w:rFonts w:hint="eastAsia"/>
        </w:rPr>
        <w:t xml:space="preserve"> N1,</w:t>
      </w:r>
      <w:r>
        <w:t xml:space="preserve"> </w:t>
      </w:r>
      <w:r>
        <w:rPr>
          <w:rFonts w:hint="eastAsia"/>
        </w:rPr>
        <w:t>N2,</w:t>
      </w:r>
      <w:r>
        <w:t xml:space="preserve"> </w:t>
      </w:r>
      <w:r>
        <w:rPr>
          <w:rFonts w:hint="eastAsia"/>
        </w:rPr>
        <w:t>O1,</w:t>
      </w:r>
      <w:r>
        <w:t xml:space="preserve"> </w:t>
      </w:r>
      <w:r>
        <w:rPr>
          <w:rFonts w:hint="eastAsia"/>
        </w:rPr>
        <w:t>O2 and the number of subband</w:t>
      </w:r>
      <w:r>
        <w:t>s</w:t>
      </w:r>
      <w:r>
        <w:rPr>
          <w:rFonts w:hint="eastAsia"/>
        </w:rPr>
        <w:t>. If multiple PMIs need to be reported</w:t>
      </w:r>
      <w:r>
        <w:t xml:space="preserve"> for multi-CSI</w:t>
      </w:r>
      <w:r>
        <w:rPr>
          <w:rFonts w:hint="eastAsia"/>
        </w:rPr>
        <w:t>, the overhead is large.</w:t>
      </w:r>
      <w:r>
        <w:rPr>
          <w:rFonts w:hint="eastAsia"/>
        </w:rPr>
        <w:fldChar w:fldCharType="end"/>
      </w:r>
    </w:p>
    <w:p>
      <w:pPr>
        <w:pStyle w:val="13"/>
        <w:tabs>
          <w:tab w:val="right" w:leader="dot" w:pos="9660"/>
          <w:tab w:val="clear" w:pos="0"/>
        </w:tabs>
        <w:spacing w:before="120" w:after="120"/>
      </w:pPr>
      <w:r>
        <w:fldChar w:fldCharType="begin"/>
      </w:r>
      <w:r>
        <w:instrText xml:space="preserve"> HYPERLINK \l "_Toc7452" </w:instrText>
      </w:r>
      <w:r>
        <w:fldChar w:fldCharType="separate"/>
      </w:r>
      <w:r>
        <w:fldChar w:fldCharType="end"/>
      </w:r>
    </w:p>
    <w:p>
      <w:pPr>
        <w:pStyle w:val="13"/>
        <w:tabs>
          <w:tab w:val="right" w:leader="dot" w:pos="9660"/>
          <w:tab w:val="clear" w:pos="0"/>
        </w:tabs>
        <w:spacing w:before="120" w:after="120"/>
      </w:pPr>
      <w:r>
        <w:fldChar w:fldCharType="begin"/>
      </w:r>
      <w:r>
        <w:instrText xml:space="preserve"> HYPERLINK \l "_Toc1040" </w:instrText>
      </w:r>
      <w:r>
        <w:fldChar w:fldCharType="separate"/>
      </w:r>
      <w:r>
        <w:rPr>
          <w:rFonts w:eastAsia="宋体"/>
          <w:iCs w:val="0"/>
          <w:szCs w:val="21"/>
        </w:rPr>
        <w:t xml:space="preserve">Observation 5: </w:t>
      </w:r>
      <w:r>
        <w:rPr>
          <w:rFonts w:hint="eastAsia"/>
        </w:rPr>
        <w:t xml:space="preserve">The correlation between </w:t>
      </w:r>
      <w:r>
        <w:t>the</w:t>
      </w:r>
      <w:r>
        <w:rPr>
          <w:rFonts w:hint="eastAsia"/>
        </w:rPr>
        <w:t xml:space="preserve"> precoding matrices </w:t>
      </w:r>
      <w:bookmarkStart w:id="230" w:name="_GoBack"/>
      <w:bookmarkEnd w:id="230"/>
      <w:r>
        <w:t>of different CSI-RS port numbers</w:t>
      </w:r>
      <w:r>
        <w:rPr>
          <w:rFonts w:hint="eastAsia"/>
        </w:rPr>
        <w:t xml:space="preserve"> is high.</w:t>
      </w:r>
      <w:r>
        <w:rPr>
          <w:rFonts w:hint="eastAsia"/>
        </w:rPr>
        <w:fldChar w:fldCharType="end"/>
      </w:r>
    </w:p>
    <w:p>
      <w:pPr>
        <w:pStyle w:val="13"/>
        <w:tabs>
          <w:tab w:val="right" w:leader="dot" w:pos="9660"/>
          <w:tab w:val="clear" w:pos="0"/>
        </w:tabs>
        <w:spacing w:before="120" w:after="120"/>
      </w:pPr>
      <w:r>
        <w:fldChar w:fldCharType="begin"/>
      </w:r>
      <w:r>
        <w:instrText xml:space="preserve"> HYPERLINK \l "_Toc27605" </w:instrText>
      </w:r>
      <w:r>
        <w:fldChar w:fldCharType="separate"/>
      </w:r>
      <w:r>
        <w:rPr>
          <w:rFonts w:eastAsia="宋体"/>
          <w:iCs w:val="0"/>
          <w:szCs w:val="21"/>
        </w:rPr>
        <w:t xml:space="preserve">Observation 6: </w:t>
      </w:r>
      <w:r>
        <w:t>The</w:t>
      </w:r>
      <w:r>
        <w:rPr>
          <w:rFonts w:hint="eastAsia"/>
        </w:rPr>
        <w:t xml:space="preserve"> throughput</w:t>
      </w:r>
      <w:r>
        <w:t xml:space="preserve"> performance of </w:t>
      </w:r>
      <w:r>
        <w:rPr>
          <w:rFonts w:hint="eastAsia"/>
        </w:rPr>
        <w:t>using a derived precoding matrix</w:t>
      </w:r>
      <w:r>
        <w:t xml:space="preserve"> and </w:t>
      </w:r>
      <w:r>
        <w:rPr>
          <w:rFonts w:hint="eastAsia"/>
        </w:rPr>
        <w:t>using a real precoding matrix is nearly</w:t>
      </w:r>
      <w:r>
        <w:t xml:space="preserve"> the</w:t>
      </w:r>
      <w:r>
        <w:rPr>
          <w:rFonts w:hint="eastAsia"/>
        </w:rPr>
        <w:t xml:space="preserve"> same if rank is fixed</w:t>
      </w:r>
      <w:r>
        <w:t>.</w:t>
      </w:r>
      <w:r>
        <w:fldChar w:fldCharType="end"/>
      </w:r>
    </w:p>
    <w:p>
      <w:pPr>
        <w:pStyle w:val="13"/>
        <w:tabs>
          <w:tab w:val="right" w:leader="dot" w:pos="9660"/>
          <w:tab w:val="clear" w:pos="0"/>
        </w:tabs>
        <w:spacing w:before="120" w:after="120"/>
      </w:pPr>
      <w:r>
        <w:fldChar w:fldCharType="begin"/>
      </w:r>
      <w:r>
        <w:instrText xml:space="preserve"> HYPERLINK \l "_Toc23574" </w:instrText>
      </w:r>
      <w:r>
        <w:fldChar w:fldCharType="separate"/>
      </w:r>
      <w:r>
        <w:rPr>
          <w:rFonts w:eastAsia="宋体"/>
          <w:iCs w:val="0"/>
          <w:szCs w:val="21"/>
        </w:rPr>
        <w:t xml:space="preserve">Observation 7: </w:t>
      </w:r>
      <w:r>
        <w:t xml:space="preserve">Compared with reporting multiple PMI, the </w:t>
      </w:r>
      <w:r>
        <w:rPr>
          <w:rFonts w:hint="eastAsia"/>
        </w:rPr>
        <w:t xml:space="preserve">average </w:t>
      </w:r>
      <w:r>
        <w:t>throughput loss of single PMI is small</w:t>
      </w:r>
      <w:r>
        <w:rPr>
          <w:rFonts w:hint="eastAsia"/>
        </w:rPr>
        <w:t xml:space="preserve"> when rank is flexible</w:t>
      </w:r>
      <w:r>
        <w:t>.</w:t>
      </w:r>
      <w:r>
        <w:fldChar w:fldCharType="end"/>
      </w:r>
    </w:p>
    <w:p>
      <w:pPr>
        <w:pStyle w:val="13"/>
        <w:tabs>
          <w:tab w:val="right" w:leader="dot" w:pos="9660"/>
          <w:tab w:val="clear" w:pos="0"/>
        </w:tabs>
        <w:spacing w:before="120" w:after="120"/>
      </w:pPr>
      <w:r>
        <w:fldChar w:fldCharType="begin"/>
      </w:r>
      <w:r>
        <w:instrText xml:space="preserve"> HYPERLINK \l "_Toc23640" </w:instrText>
      </w:r>
      <w:r>
        <w:fldChar w:fldCharType="separate"/>
      </w:r>
      <w:r>
        <w:rPr>
          <w:rFonts w:eastAsia="宋体"/>
          <w:iCs w:val="0"/>
          <w:szCs w:val="21"/>
        </w:rPr>
        <w:t xml:space="preserve">Observation 8: </w:t>
      </w:r>
      <w:r>
        <w:t>The performance of single PMI reporting and multiple PMI reporting</w:t>
      </w:r>
      <w:r>
        <w:rPr>
          <w:rFonts w:hint="eastAsia"/>
        </w:rPr>
        <w:t xml:space="preserve"> </w:t>
      </w:r>
      <w:r>
        <w:t>is similar in both LLS and SLS.</w:t>
      </w:r>
      <w:r>
        <w:fldChar w:fldCharType="end"/>
      </w:r>
    </w:p>
    <w:p>
      <w:pPr>
        <w:pStyle w:val="13"/>
        <w:tabs>
          <w:tab w:val="right" w:leader="dot" w:pos="9660"/>
          <w:tab w:val="clear" w:pos="0"/>
        </w:tabs>
        <w:spacing w:before="120" w:after="120"/>
      </w:pPr>
      <w:r>
        <w:fldChar w:fldCharType="begin"/>
      </w:r>
      <w:r>
        <w:instrText xml:space="preserve"> HYPERLINK \l "_Toc20850" </w:instrText>
      </w:r>
      <w:r>
        <w:fldChar w:fldCharType="separate"/>
      </w:r>
      <w:r>
        <w:rPr>
          <w:rFonts w:eastAsia="宋体"/>
          <w:iCs w:val="0"/>
          <w:szCs w:val="21"/>
        </w:rPr>
        <w:t xml:space="preserve">Observation 9: </w:t>
      </w:r>
      <w:r>
        <w:rPr>
          <w:rFonts w:hint="eastAsia"/>
        </w:rPr>
        <w:t xml:space="preserve">When </w:t>
      </w:r>
      <w:r>
        <w:t>dynamic gNB antenna adaptation among</w:t>
      </w:r>
      <w:r>
        <w:rPr>
          <w:rFonts w:hint="eastAsia"/>
        </w:rPr>
        <w:t xml:space="preserve"> {32ports, 24ports, 16ports}, the payload of PMI reporting </w:t>
      </w:r>
      <w:r>
        <w:t xml:space="preserve">can by </w:t>
      </w:r>
      <w:r>
        <w:rPr>
          <w:rFonts w:hint="eastAsia"/>
        </w:rPr>
        <w:t xml:space="preserve">reduced </w:t>
      </w:r>
      <w:r>
        <w:t>by 65% (</w:t>
      </w:r>
      <w:r>
        <w:rPr>
          <w:rFonts w:hint="eastAsia"/>
        </w:rPr>
        <w:t>i</w:t>
      </w:r>
      <w:r>
        <w:t xml:space="preserve">.e., </w:t>
      </w:r>
      <w:r>
        <w:rPr>
          <w:rFonts w:hint="eastAsia"/>
        </w:rPr>
        <w:t xml:space="preserve">from </w:t>
      </w:r>
      <w:r>
        <w:t>82</w:t>
      </w:r>
      <w:r>
        <w:rPr>
          <w:rFonts w:hint="eastAsia"/>
        </w:rPr>
        <w:t xml:space="preserve">bits to </w:t>
      </w:r>
      <w:r>
        <w:t>28</w:t>
      </w:r>
      <w:r>
        <w:rPr>
          <w:rFonts w:hint="eastAsia"/>
        </w:rPr>
        <w:t>bits</w:t>
      </w:r>
      <w:r>
        <w:t>)</w:t>
      </w:r>
      <w:r>
        <w:rPr>
          <w:rFonts w:hint="eastAsia"/>
        </w:rPr>
        <w:t xml:space="preserve"> using </w:t>
      </w:r>
      <w:r>
        <w:t>single PMI reporting</w:t>
      </w:r>
      <w:r>
        <w:rPr>
          <w:rFonts w:hint="eastAsia"/>
        </w:rPr>
        <w:t>.</w:t>
      </w:r>
      <w:r>
        <w:rPr>
          <w:rFonts w:hint="eastAsia"/>
        </w:rPr>
        <w:fldChar w:fldCharType="end"/>
      </w:r>
    </w:p>
    <w:p>
      <w:pPr>
        <w:pStyle w:val="13"/>
        <w:tabs>
          <w:tab w:val="right" w:leader="dot" w:pos="9660"/>
          <w:tab w:val="clear" w:pos="0"/>
        </w:tabs>
        <w:spacing w:before="120" w:after="120"/>
      </w:pPr>
      <w:r>
        <w:fldChar w:fldCharType="begin"/>
      </w:r>
      <w:r>
        <w:instrText xml:space="preserve"> HYPERLINK \l "_Toc5558" </w:instrText>
      </w:r>
      <w:r>
        <w:fldChar w:fldCharType="separate"/>
      </w:r>
      <w:r>
        <w:rPr>
          <w:rFonts w:eastAsia="宋体"/>
          <w:iCs w:val="0"/>
          <w:szCs w:val="21"/>
        </w:rPr>
        <w:t xml:space="preserve">Observation 10: </w:t>
      </w:r>
      <w:r>
        <w:rPr>
          <w:rFonts w:hint="eastAsia"/>
        </w:rPr>
        <w:t>If gNB transmits a signaling to indicate which ports are used for CSI calculation, the overhead of the signaling should be considered.</w:t>
      </w:r>
      <w:r>
        <w:rPr>
          <w:rFonts w:hint="eastAsia"/>
        </w:rPr>
        <w:fldChar w:fldCharType="end"/>
      </w:r>
    </w:p>
    <w:p>
      <w:pPr>
        <w:pStyle w:val="13"/>
        <w:tabs>
          <w:tab w:val="right" w:leader="dot" w:pos="9660"/>
          <w:tab w:val="clear" w:pos="0"/>
        </w:tabs>
        <w:spacing w:before="120" w:after="120"/>
      </w:pPr>
      <w:r>
        <w:fldChar w:fldCharType="begin"/>
      </w:r>
      <w:r>
        <w:instrText xml:space="preserve"> HYPERLINK \l "_Toc3748" </w:instrText>
      </w:r>
      <w:r>
        <w:fldChar w:fldCharType="separate"/>
      </w:r>
      <w:r>
        <w:rPr>
          <w:rFonts w:eastAsia="宋体"/>
          <w:iCs w:val="0"/>
          <w:szCs w:val="21"/>
        </w:rPr>
        <w:t xml:space="preserve">Observation 11: </w:t>
      </w:r>
      <w:r>
        <w:rPr>
          <w:rFonts w:hint="eastAsia"/>
        </w:rPr>
        <w:t xml:space="preserve">The correlation between </w:t>
      </w:r>
      <w:r>
        <w:rPr>
          <w:bCs w:val="0"/>
        </w:rPr>
        <w:t>16</w:t>
      </w:r>
      <w:r>
        <w:rPr>
          <w:rFonts w:hint="eastAsia"/>
          <w:bCs w:val="0"/>
        </w:rPr>
        <w:t>-port</w:t>
      </w:r>
      <w:r>
        <w:rPr>
          <w:bCs w:val="0"/>
        </w:rPr>
        <w:t xml:space="preserve"> </w:t>
      </w:r>
      <w:r>
        <w:rPr>
          <w:rFonts w:hint="eastAsia"/>
          <w:bCs w:val="0"/>
        </w:rPr>
        <w:t xml:space="preserve">precoding matrix </w:t>
      </w:r>
      <w:r>
        <w:rPr>
          <w:bCs w:val="0"/>
        </w:rPr>
        <w:t xml:space="preserve">and 32-port </w:t>
      </w:r>
      <w:r>
        <w:rPr>
          <w:rFonts w:hint="eastAsia"/>
          <w:bCs w:val="0"/>
        </w:rPr>
        <w:t xml:space="preserve">precoding matrix </w:t>
      </w:r>
      <w:r>
        <w:rPr>
          <w:rFonts w:hint="eastAsia"/>
        </w:rPr>
        <w:t>with rank 3 or 4 is low</w:t>
      </w:r>
      <w:r>
        <w:t xml:space="preserve"> with </w:t>
      </w:r>
      <w:r>
        <w:rPr>
          <w:bCs w:val="0"/>
        </w:rPr>
        <w:t>improper selection of ports</w:t>
      </w:r>
      <w:r>
        <w:rPr>
          <w:rFonts w:hint="eastAsia"/>
        </w:rPr>
        <w:t>.</w:t>
      </w:r>
      <w:r>
        <w:rPr>
          <w:rFonts w:hint="eastAsia"/>
        </w:rPr>
        <w:fldChar w:fldCharType="end"/>
      </w:r>
    </w:p>
    <w:p>
      <w:pPr>
        <w:pStyle w:val="13"/>
        <w:tabs>
          <w:tab w:val="right" w:leader="dot" w:pos="9660"/>
          <w:tab w:val="clear" w:pos="0"/>
        </w:tabs>
        <w:spacing w:before="120" w:after="120"/>
      </w:pPr>
      <w:r>
        <w:fldChar w:fldCharType="begin"/>
      </w:r>
      <w:r>
        <w:instrText xml:space="preserve"> HYPERLINK \l "_Toc342" </w:instrText>
      </w:r>
      <w:r>
        <w:fldChar w:fldCharType="separate"/>
      </w:r>
      <w:r>
        <w:rPr>
          <w:rFonts w:eastAsia="宋体"/>
          <w:iCs w:val="0"/>
          <w:szCs w:val="21"/>
        </w:rPr>
        <w:t xml:space="preserve">Observation 12: </w:t>
      </w:r>
      <w:r>
        <w:t>If only one PMI is reported for multiple number of ports, the port selection should observe the following principles:</w:t>
      </w:r>
      <w:r>
        <w:fldChar w:fldCharType="end"/>
      </w:r>
    </w:p>
    <w:p>
      <w:pPr>
        <w:pStyle w:val="13"/>
        <w:numPr>
          <w:ilvl w:val="0"/>
          <w:numId w:val="19"/>
        </w:numPr>
        <w:tabs>
          <w:tab w:val="right" w:leader="dot" w:pos="9660"/>
          <w:tab w:val="clear" w:pos="0"/>
        </w:tabs>
        <w:spacing w:before="120" w:after="120"/>
      </w:pPr>
      <w:r>
        <w:fldChar w:fldCharType="begin"/>
      </w:r>
      <w:r>
        <w:instrText xml:space="preserve"> HYPERLINK \l "_Toc17597" </w:instrText>
      </w:r>
      <w:r>
        <w:fldChar w:fldCharType="separate"/>
      </w:r>
      <w:r>
        <w:t>The selected ports should follow a valid (N1, N2);</w:t>
      </w:r>
      <w:r>
        <w:fldChar w:fldCharType="end"/>
      </w:r>
    </w:p>
    <w:p>
      <w:pPr>
        <w:pStyle w:val="13"/>
        <w:numPr>
          <w:ilvl w:val="0"/>
          <w:numId w:val="19"/>
        </w:numPr>
        <w:tabs>
          <w:tab w:val="right" w:leader="dot" w:pos="9660"/>
          <w:tab w:val="clear" w:pos="0"/>
        </w:tabs>
        <w:spacing w:before="120" w:after="120"/>
      </w:pPr>
      <w:r>
        <w:fldChar w:fldCharType="begin"/>
      </w:r>
      <w:r>
        <w:instrText xml:space="preserve"> HYPERLINK \l "_Toc19524" </w:instrText>
      </w:r>
      <w:r>
        <w:fldChar w:fldCharType="separate"/>
      </w:r>
      <w:r>
        <w:t>The extracted precoding matrix should follow the structure of the precoding matrix in TS 38.214.</w:t>
      </w:r>
      <w:r>
        <w:fldChar w:fldCharType="end"/>
      </w:r>
    </w:p>
    <w:p>
      <w:pPr>
        <w:pStyle w:val="13"/>
        <w:tabs>
          <w:tab w:val="right" w:leader="dot" w:pos="9660"/>
          <w:tab w:val="clear" w:pos="0"/>
        </w:tabs>
        <w:spacing w:before="120" w:after="120"/>
      </w:pPr>
      <w:r>
        <w:fldChar w:fldCharType="begin"/>
      </w:r>
      <w:r>
        <w:instrText xml:space="preserve"> HYPERLINK \l "_Toc5093" </w:instrText>
      </w:r>
      <w:r>
        <w:fldChar w:fldCharType="separate"/>
      </w:r>
      <w:r>
        <w:rPr>
          <w:rFonts w:eastAsia="宋体"/>
          <w:iCs w:val="0"/>
          <w:szCs w:val="21"/>
        </w:rPr>
        <w:t xml:space="preserve">Observation 13: </w:t>
      </w:r>
      <w:r>
        <w:rPr>
          <w:rFonts w:hint="eastAsia"/>
        </w:rPr>
        <w:t>In most cases, RI doesn</w:t>
      </w:r>
      <w:r>
        <w:t>’</w:t>
      </w:r>
      <w:r>
        <w:rPr>
          <w:rFonts w:hint="eastAsia"/>
        </w:rPr>
        <w:t>t change or just decreased by 1 when CSI-RS antenna ports are dynamically adapted.</w:t>
      </w:r>
      <w:r>
        <w:rPr>
          <w:rFonts w:hint="eastAsia"/>
        </w:rPr>
        <w:fldChar w:fldCharType="end"/>
      </w:r>
    </w:p>
    <w:p>
      <w:pPr>
        <w:pStyle w:val="13"/>
        <w:tabs>
          <w:tab w:val="right" w:leader="dot" w:pos="9660"/>
          <w:tab w:val="clear" w:pos="0"/>
        </w:tabs>
        <w:spacing w:before="120" w:after="120"/>
      </w:pPr>
      <w:r>
        <w:fldChar w:fldCharType="begin"/>
      </w:r>
      <w:r>
        <w:instrText xml:space="preserve"> HYPERLINK \l "_Toc26641" </w:instrText>
      </w:r>
      <w:r>
        <w:fldChar w:fldCharType="separate"/>
      </w:r>
      <w:r>
        <w:rPr>
          <w:rFonts w:eastAsia="宋体"/>
          <w:iCs w:val="0"/>
          <w:szCs w:val="21"/>
        </w:rPr>
        <w:t xml:space="preserve">Observation 14: </w:t>
      </w:r>
      <w:r>
        <w:rPr>
          <w:rFonts w:eastAsia="宋体"/>
        </w:rPr>
        <w:t xml:space="preserve">The </w:t>
      </w:r>
      <w:r>
        <w:rPr>
          <w:rFonts w:hint="eastAsia" w:eastAsia="宋体"/>
        </w:rPr>
        <w:t>spatial element</w:t>
      </w:r>
      <w:r>
        <w:rPr>
          <w:rFonts w:eastAsia="宋体"/>
        </w:rPr>
        <w:t xml:space="preserve"> adaptation </w:t>
      </w:r>
      <w:r>
        <w:rPr>
          <w:rFonts w:hint="eastAsia" w:eastAsia="宋体"/>
        </w:rPr>
        <w:t xml:space="preserve">with type 1 mapping method </w:t>
      </w:r>
      <w:r>
        <w:rPr>
          <w:rFonts w:eastAsia="宋体"/>
        </w:rPr>
        <w:t>does not impact the antenna port configuration of CSI-RS resources for beam management.</w:t>
      </w:r>
      <w:r>
        <w:rPr>
          <w:rFonts w:eastAsia="宋体"/>
        </w:rPr>
        <w:fldChar w:fldCharType="end"/>
      </w:r>
    </w:p>
    <w:p>
      <w:pPr>
        <w:pStyle w:val="13"/>
        <w:tabs>
          <w:tab w:val="right" w:leader="dot" w:pos="9660"/>
          <w:tab w:val="clear" w:pos="0"/>
        </w:tabs>
        <w:spacing w:before="120" w:after="120"/>
      </w:pPr>
      <w:r>
        <w:fldChar w:fldCharType="begin"/>
      </w:r>
      <w:r>
        <w:instrText xml:space="preserve"> HYPERLINK \l "_Toc22865" </w:instrText>
      </w:r>
      <w:r>
        <w:fldChar w:fldCharType="separate"/>
      </w:r>
      <w:r>
        <w:rPr>
          <w:rFonts w:eastAsia="宋体"/>
          <w:iCs w:val="0"/>
          <w:szCs w:val="21"/>
        </w:rPr>
        <w:t xml:space="preserve">Observation 15: </w:t>
      </w:r>
      <w:r>
        <w:rPr>
          <w:rFonts w:hint="eastAsia"/>
        </w:rPr>
        <w:t>The impact on beam management with type 2 mapping method can be avoided by NW implementation.</w:t>
      </w:r>
      <w:r>
        <w:rPr>
          <w:rFonts w:hint="eastAsia"/>
        </w:rPr>
        <w:fldChar w:fldCharType="end"/>
      </w:r>
    </w:p>
    <w:p>
      <w:pPr>
        <w:pStyle w:val="13"/>
        <w:tabs>
          <w:tab w:val="right" w:leader="dot" w:pos="9660"/>
          <w:tab w:val="clear" w:pos="0"/>
        </w:tabs>
        <w:spacing w:before="120" w:after="120"/>
      </w:pPr>
      <w:r>
        <w:fldChar w:fldCharType="begin"/>
      </w:r>
      <w:r>
        <w:instrText xml:space="preserve"> HYPERLINK \l "_Toc12151" </w:instrText>
      </w:r>
      <w:r>
        <w:fldChar w:fldCharType="separate"/>
      </w:r>
      <w:r>
        <w:rPr>
          <w:rFonts w:eastAsia="宋体"/>
          <w:iCs w:val="0"/>
          <w:szCs w:val="21"/>
        </w:rPr>
        <w:t xml:space="preserve">Observation 16: </w:t>
      </w:r>
      <w:r>
        <w:rPr>
          <w:rFonts w:hint="eastAsia"/>
        </w:rPr>
        <w:t>Both the m</w:t>
      </w:r>
      <w:r>
        <w:t>ulti-CSI report with different power offset</w:t>
      </w:r>
      <w:r>
        <w:rPr>
          <w:rFonts w:hint="eastAsia"/>
        </w:rPr>
        <w:t xml:space="preserve"> values and the d</w:t>
      </w:r>
      <w:r>
        <w:t>ynamic indication of the power offset</w:t>
      </w:r>
      <w:r>
        <w:rPr>
          <w:rFonts w:hint="eastAsia"/>
        </w:rPr>
        <w:t xml:space="preserve"> values</w:t>
      </w:r>
      <w:r>
        <w:t xml:space="preserve"> </w:t>
      </w:r>
      <w:r>
        <w:rPr>
          <w:rFonts w:hint="eastAsia"/>
        </w:rPr>
        <w:t>is beneficial for the gNB to capture a relatively accurate CSI feedback.</w:t>
      </w:r>
      <w:r>
        <w:rPr>
          <w:rFonts w:hint="eastAsia"/>
        </w:rPr>
        <w:fldChar w:fldCharType="end"/>
      </w:r>
    </w:p>
    <w:p>
      <w:pPr>
        <w:pStyle w:val="13"/>
        <w:tabs>
          <w:tab w:val="right" w:leader="dot" w:pos="9660"/>
          <w:tab w:val="clear" w:pos="0"/>
        </w:tabs>
        <w:spacing w:before="120" w:after="120"/>
      </w:pPr>
      <w:r>
        <w:fldChar w:fldCharType="begin"/>
      </w:r>
      <w:r>
        <w:instrText xml:space="preserve"> HYPERLINK \l "_Toc5568" </w:instrText>
      </w:r>
      <w:r>
        <w:fldChar w:fldCharType="separate"/>
      </w:r>
      <w:r>
        <w:rPr>
          <w:rFonts w:eastAsia="宋体"/>
          <w:iCs w:val="0"/>
          <w:szCs w:val="21"/>
        </w:rPr>
        <w:t xml:space="preserve">Observation 17: </w:t>
      </w:r>
      <w:r>
        <w:t>Enhanced CSI measurement and CSI report with multi-CSI reporting corresponding to different power offset</w:t>
      </w:r>
      <w:r>
        <w:rPr>
          <w:rFonts w:hint="eastAsia"/>
        </w:rPr>
        <w:t xml:space="preserve"> values</w:t>
      </w:r>
      <w:r>
        <w:t xml:space="preserve"> are beneficial for the network to dynamically adjust transmission power.</w:t>
      </w:r>
      <w:r>
        <w:fldChar w:fldCharType="end"/>
      </w:r>
    </w:p>
    <w:p>
      <w:pPr>
        <w:pStyle w:val="13"/>
        <w:tabs>
          <w:tab w:val="right" w:leader="dot" w:pos="9660"/>
          <w:tab w:val="clear" w:pos="0"/>
        </w:tabs>
        <w:spacing w:before="120" w:after="120"/>
      </w:pPr>
      <w:r>
        <w:fldChar w:fldCharType="begin"/>
      </w:r>
      <w:r>
        <w:instrText xml:space="preserve"> HYPERLINK \l "_Toc13668" </w:instrText>
      </w:r>
      <w:r>
        <w:fldChar w:fldCharType="separate"/>
      </w:r>
      <w:r>
        <w:rPr>
          <w:rFonts w:eastAsia="宋体"/>
          <w:iCs w:val="0"/>
          <w:szCs w:val="21"/>
        </w:rPr>
        <w:t xml:space="preserve">Observation 18: </w:t>
      </w:r>
      <w:r>
        <w:rPr>
          <w:rFonts w:hint="eastAsia"/>
        </w:rPr>
        <w:t>Each CSI-RS resource/resource set/resource setting can be associated with one or more power offset values.</w:t>
      </w:r>
      <w:r>
        <w:rPr>
          <w:rFonts w:hint="eastAsia"/>
        </w:rPr>
        <w:fldChar w:fldCharType="end"/>
      </w:r>
    </w:p>
    <w:p>
      <w:pPr>
        <w:spacing w:before="120" w:after="120"/>
        <w:rPr>
          <w:szCs w:val="21"/>
        </w:rPr>
      </w:pPr>
      <w:r>
        <w:rPr>
          <w:szCs w:val="21"/>
        </w:rPr>
        <w:fldChar w:fldCharType="end"/>
      </w:r>
    </w:p>
    <w:p>
      <w:pPr>
        <w:pStyle w:val="13"/>
        <w:tabs>
          <w:tab w:val="left" w:pos="1282"/>
        </w:tabs>
        <w:spacing w:before="120" w:after="120"/>
        <w:rPr>
          <w:rFonts w:asciiTheme="minorHAnsi" w:hAnsiTheme="minorHAnsi" w:cstheme="minorBidi"/>
          <w:b w:val="0"/>
          <w:bCs w:val="0"/>
          <w:iCs w:val="0"/>
          <w:szCs w:val="22"/>
        </w:rPr>
      </w:pPr>
      <w:r>
        <w:rPr>
          <w:iCs w:val="0"/>
          <w:szCs w:val="21"/>
        </w:rPr>
        <w:fldChar w:fldCharType="begin"/>
      </w:r>
      <w:r>
        <w:rPr>
          <w:iCs w:val="0"/>
          <w:szCs w:val="21"/>
        </w:rPr>
        <w:instrText xml:space="preserve">TOC \n  \t "YJ-Proposal,1,sub-proposal,2,3rd level proposal,3" \h</w:instrText>
      </w:r>
      <w:r>
        <w:rPr>
          <w:iCs w:val="0"/>
          <w:szCs w:val="21"/>
        </w:rPr>
        <w:fldChar w:fldCharType="separate"/>
      </w:r>
      <w:r>
        <w:fldChar w:fldCharType="begin"/>
      </w:r>
      <w:r>
        <w:instrText xml:space="preserve"> HYPERLINK \l "_Toc131790356" </w:instrText>
      </w:r>
      <w:r>
        <w:fldChar w:fldCharType="separate"/>
      </w:r>
      <w:r>
        <w:rPr>
          <w:rStyle w:val="24"/>
          <w:rFonts w:eastAsia="宋体"/>
        </w:rPr>
        <w:t>Proposal 1:</w:t>
      </w:r>
      <w:r>
        <w:rPr>
          <w:rFonts w:asciiTheme="minorHAnsi" w:hAnsiTheme="minorHAnsi" w:cstheme="minorBidi"/>
          <w:b w:val="0"/>
          <w:bCs w:val="0"/>
          <w:iCs w:val="0"/>
          <w:szCs w:val="22"/>
        </w:rPr>
        <w:tab/>
      </w:r>
      <w:r>
        <w:rPr>
          <w:rStyle w:val="24"/>
        </w:rPr>
        <w:t>Multi-CSI report should be considered for network spatial adaptation for energy saving.</w:t>
      </w:r>
      <w:r>
        <w:rPr>
          <w:rStyle w:val="24"/>
        </w:rPr>
        <w:fldChar w:fldCharType="end"/>
      </w:r>
    </w:p>
    <w:p>
      <w:pPr>
        <w:pStyle w:val="13"/>
        <w:tabs>
          <w:tab w:val="left" w:pos="1470"/>
        </w:tabs>
        <w:spacing w:before="120" w:after="120"/>
        <w:rPr>
          <w:rFonts w:asciiTheme="minorHAnsi" w:hAnsiTheme="minorHAnsi" w:cstheme="minorBidi"/>
          <w:b w:val="0"/>
          <w:bCs w:val="0"/>
          <w:iCs w:val="0"/>
          <w:szCs w:val="22"/>
        </w:rPr>
      </w:pPr>
      <w:r>
        <w:fldChar w:fldCharType="begin"/>
      </w:r>
      <w:r>
        <w:instrText xml:space="preserve"> HYPERLINK \l "_Toc131790357" </w:instrText>
      </w:r>
      <w:r>
        <w:fldChar w:fldCharType="separate"/>
      </w:r>
      <w:r>
        <w:rPr>
          <w:rStyle w:val="24"/>
          <w:rFonts w:eastAsia="宋体"/>
        </w:rPr>
        <w:t>Proposal 2:</w:t>
      </w:r>
      <w:r>
        <w:rPr>
          <w:rFonts w:asciiTheme="minorHAnsi" w:hAnsiTheme="minorHAnsi" w:cstheme="minorBidi"/>
          <w:b w:val="0"/>
          <w:bCs w:val="0"/>
          <w:iCs w:val="0"/>
          <w:szCs w:val="22"/>
        </w:rPr>
        <w:tab/>
      </w:r>
      <w:r>
        <w:rPr>
          <w:rStyle w:val="24"/>
        </w:rPr>
        <w:t>For spatial element adaptation with multi-CSI report, each CSI-RS resource/resource set/resource setting can be associated with more than one spatial adaptation patterns</w:t>
      </w:r>
      <w:r>
        <w:rPr>
          <w:rStyle w:val="24"/>
        </w:rPr>
        <w:fldChar w:fldCharType="end"/>
      </w:r>
    </w:p>
    <w:p>
      <w:pPr>
        <w:pStyle w:val="13"/>
        <w:tabs>
          <w:tab w:val="left" w:pos="1282"/>
        </w:tabs>
        <w:spacing w:before="120" w:after="120"/>
        <w:rPr>
          <w:rFonts w:asciiTheme="minorHAnsi" w:hAnsiTheme="minorHAnsi" w:cstheme="minorBidi"/>
          <w:b w:val="0"/>
          <w:bCs w:val="0"/>
          <w:iCs w:val="0"/>
          <w:szCs w:val="22"/>
        </w:rPr>
      </w:pPr>
      <w:r>
        <w:fldChar w:fldCharType="begin"/>
      </w:r>
      <w:r>
        <w:instrText xml:space="preserve"> HYPERLINK \l "_Toc131790358" </w:instrText>
      </w:r>
      <w:r>
        <w:fldChar w:fldCharType="separate"/>
      </w:r>
      <w:r>
        <w:rPr>
          <w:rStyle w:val="24"/>
          <w:rFonts w:eastAsia="宋体"/>
        </w:rPr>
        <w:t>Proposal 3:</w:t>
      </w:r>
      <w:r>
        <w:rPr>
          <w:rFonts w:asciiTheme="minorHAnsi" w:hAnsiTheme="minorHAnsi" w:cstheme="minorBidi"/>
          <w:b w:val="0"/>
          <w:bCs w:val="0"/>
          <w:iCs w:val="0"/>
          <w:szCs w:val="22"/>
        </w:rPr>
        <w:tab/>
      </w:r>
      <w:r>
        <w:rPr>
          <w:rStyle w:val="24"/>
        </w:rPr>
        <w:t>The following can be considered to define “spatial adaptation pattern”</w:t>
      </w:r>
      <w:r>
        <w:rPr>
          <w:rStyle w:val="24"/>
        </w:rPr>
        <w:fldChar w:fldCharType="end"/>
      </w:r>
    </w:p>
    <w:p>
      <w:pPr>
        <w:pStyle w:val="13"/>
        <w:tabs>
          <w:tab w:val="left" w:pos="862"/>
        </w:tabs>
        <w:spacing w:before="120" w:after="120"/>
        <w:rPr>
          <w:rFonts w:asciiTheme="minorHAnsi" w:hAnsiTheme="minorHAnsi" w:cstheme="minorBidi"/>
          <w:b w:val="0"/>
          <w:bCs w:val="0"/>
          <w:iCs w:val="0"/>
          <w:szCs w:val="22"/>
        </w:rPr>
      </w:pPr>
      <w:r>
        <w:fldChar w:fldCharType="begin"/>
      </w:r>
      <w:r>
        <w:instrText xml:space="preserve"> HYPERLINK \l "_Toc131790359" </w:instrText>
      </w:r>
      <w:r>
        <w:fldChar w:fldCharType="separate"/>
      </w:r>
      <w:r>
        <w:rPr>
          <w:rStyle w:val="24"/>
          <w:rFonts w:ascii="Arial" w:hAnsi="Arial" w:eastAsia="宋体" w:cs="Arial"/>
          <w:i/>
        </w:rPr>
        <w:t>•</w:t>
      </w:r>
      <w:r>
        <w:rPr>
          <w:rFonts w:asciiTheme="minorHAnsi" w:hAnsiTheme="minorHAnsi" w:cstheme="minorBidi"/>
          <w:b w:val="0"/>
          <w:bCs w:val="0"/>
          <w:iCs w:val="0"/>
          <w:szCs w:val="22"/>
        </w:rPr>
        <w:tab/>
      </w:r>
      <w:r>
        <w:rPr>
          <w:rStyle w:val="24"/>
        </w:rPr>
        <w:t>Codebook configuration,</w:t>
      </w:r>
      <w:r>
        <w:rPr>
          <w:rStyle w:val="24"/>
        </w:rPr>
        <w:fldChar w:fldCharType="end"/>
      </w:r>
    </w:p>
    <w:p>
      <w:pPr>
        <w:pStyle w:val="13"/>
        <w:tabs>
          <w:tab w:val="left" w:pos="862"/>
        </w:tabs>
        <w:spacing w:before="120" w:after="120"/>
        <w:rPr>
          <w:rFonts w:asciiTheme="minorHAnsi" w:hAnsiTheme="minorHAnsi" w:cstheme="minorBidi"/>
          <w:b w:val="0"/>
          <w:bCs w:val="0"/>
          <w:iCs w:val="0"/>
          <w:szCs w:val="22"/>
        </w:rPr>
      </w:pPr>
      <w:r>
        <w:fldChar w:fldCharType="begin"/>
      </w:r>
      <w:r>
        <w:instrText xml:space="preserve"> HYPERLINK \l "_Toc131790360" </w:instrText>
      </w:r>
      <w:r>
        <w:fldChar w:fldCharType="separate"/>
      </w:r>
      <w:r>
        <w:rPr>
          <w:rStyle w:val="24"/>
          <w:rFonts w:ascii="Arial" w:hAnsi="Arial" w:eastAsia="宋体" w:cs="Arial"/>
          <w:i/>
        </w:rPr>
        <w:t>•</w:t>
      </w:r>
      <w:r>
        <w:rPr>
          <w:rFonts w:asciiTheme="minorHAnsi" w:hAnsiTheme="minorHAnsi" w:cstheme="minorBidi"/>
          <w:b w:val="0"/>
          <w:bCs w:val="0"/>
          <w:iCs w:val="0"/>
          <w:szCs w:val="22"/>
        </w:rPr>
        <w:tab/>
      </w:r>
      <w:r>
        <w:rPr>
          <w:rStyle w:val="24"/>
        </w:rPr>
        <w:t>Port indication for CSI with different number of ports.</w:t>
      </w:r>
      <w:r>
        <w:rPr>
          <w:rStyle w:val="24"/>
        </w:rPr>
        <w:fldChar w:fldCharType="end"/>
      </w:r>
    </w:p>
    <w:p>
      <w:pPr>
        <w:pStyle w:val="13"/>
        <w:tabs>
          <w:tab w:val="left" w:pos="1282"/>
        </w:tabs>
        <w:spacing w:before="120" w:after="120"/>
        <w:rPr>
          <w:rFonts w:asciiTheme="minorHAnsi" w:hAnsiTheme="minorHAnsi" w:cstheme="minorBidi"/>
          <w:b w:val="0"/>
          <w:bCs w:val="0"/>
          <w:iCs w:val="0"/>
          <w:szCs w:val="22"/>
        </w:rPr>
      </w:pPr>
      <w:r>
        <w:fldChar w:fldCharType="begin"/>
      </w:r>
      <w:r>
        <w:instrText xml:space="preserve"> HYPERLINK \l "_Toc131790361" </w:instrText>
      </w:r>
      <w:r>
        <w:fldChar w:fldCharType="separate"/>
      </w:r>
      <w:r>
        <w:rPr>
          <w:rStyle w:val="24"/>
          <w:rFonts w:eastAsia="宋体"/>
        </w:rPr>
        <w:t>Proposal 4:</w:t>
      </w:r>
      <w:r>
        <w:rPr>
          <w:rFonts w:asciiTheme="minorHAnsi" w:hAnsiTheme="minorHAnsi" w:cstheme="minorBidi"/>
          <w:b w:val="0"/>
          <w:bCs w:val="0"/>
          <w:iCs w:val="0"/>
          <w:szCs w:val="22"/>
        </w:rPr>
        <w:tab/>
      </w:r>
      <w:r>
        <w:rPr>
          <w:rStyle w:val="24"/>
        </w:rPr>
        <w:t>To better adapt to CSI reporting requirements, dynamic indication of one or more CSIs can be considered, where the dynamic indication should convey information for one or multiple spatial adaptation patterns to support multi-CSIs.</w:t>
      </w:r>
      <w:r>
        <w:rPr>
          <w:rStyle w:val="24"/>
        </w:rPr>
        <w:fldChar w:fldCharType="end"/>
      </w:r>
    </w:p>
    <w:p>
      <w:pPr>
        <w:pStyle w:val="13"/>
        <w:tabs>
          <w:tab w:val="left" w:pos="1282"/>
        </w:tabs>
        <w:spacing w:before="120" w:after="120"/>
        <w:rPr>
          <w:rFonts w:asciiTheme="minorHAnsi" w:hAnsiTheme="minorHAnsi" w:cstheme="minorBidi"/>
          <w:b w:val="0"/>
          <w:bCs w:val="0"/>
          <w:iCs w:val="0"/>
          <w:szCs w:val="22"/>
        </w:rPr>
      </w:pPr>
      <w:r>
        <w:fldChar w:fldCharType="begin"/>
      </w:r>
      <w:r>
        <w:instrText xml:space="preserve"> HYPERLINK \l "_Toc131790362" </w:instrText>
      </w:r>
      <w:r>
        <w:fldChar w:fldCharType="separate"/>
      </w:r>
      <w:r>
        <w:rPr>
          <w:rStyle w:val="24"/>
          <w:rFonts w:eastAsia="宋体"/>
        </w:rPr>
        <w:t>Proposal 5:</w:t>
      </w:r>
      <w:r>
        <w:rPr>
          <w:rFonts w:asciiTheme="minorHAnsi" w:hAnsiTheme="minorHAnsi" w:cstheme="minorBidi"/>
          <w:b w:val="0"/>
          <w:bCs w:val="0"/>
          <w:iCs w:val="0"/>
          <w:szCs w:val="22"/>
        </w:rPr>
        <w:tab/>
      </w:r>
      <w:r>
        <w:rPr>
          <w:rStyle w:val="24"/>
        </w:rPr>
        <w:t>Reporting only one PMI with the largest number of ports for multiple CSIs report should be considered to reduce the UCI overhead.</w:t>
      </w:r>
      <w:r>
        <w:rPr>
          <w:rStyle w:val="24"/>
        </w:rPr>
        <w:fldChar w:fldCharType="end"/>
      </w:r>
    </w:p>
    <w:p>
      <w:pPr>
        <w:pStyle w:val="13"/>
        <w:tabs>
          <w:tab w:val="left" w:pos="1282"/>
        </w:tabs>
        <w:spacing w:before="120" w:after="120"/>
        <w:rPr>
          <w:rFonts w:asciiTheme="minorHAnsi" w:hAnsiTheme="minorHAnsi" w:cstheme="minorBidi"/>
          <w:b w:val="0"/>
          <w:bCs w:val="0"/>
          <w:iCs w:val="0"/>
          <w:szCs w:val="22"/>
        </w:rPr>
      </w:pPr>
      <w:r>
        <w:fldChar w:fldCharType="begin"/>
      </w:r>
      <w:r>
        <w:instrText xml:space="preserve"> HYPERLINK \l "_Toc131790363" </w:instrText>
      </w:r>
      <w:r>
        <w:fldChar w:fldCharType="separate"/>
      </w:r>
      <w:r>
        <w:rPr>
          <w:rStyle w:val="24"/>
          <w:rFonts w:eastAsia="宋体"/>
        </w:rPr>
        <w:t>Proposal 6:</w:t>
      </w:r>
      <w:r>
        <w:rPr>
          <w:rFonts w:asciiTheme="minorHAnsi" w:hAnsiTheme="minorHAnsi" w:cstheme="minorBidi"/>
          <w:b w:val="0"/>
          <w:bCs w:val="0"/>
          <w:iCs w:val="0"/>
          <w:szCs w:val="22"/>
        </w:rPr>
        <w:tab/>
      </w:r>
      <w:r>
        <w:rPr>
          <w:rStyle w:val="24"/>
        </w:rPr>
        <w:t>gNB can configure multiple bitmap candidates by RRC signaling, and use L1 signaling to select one or more from the multiple candidates.</w:t>
      </w:r>
      <w:r>
        <w:rPr>
          <w:rStyle w:val="24"/>
        </w:rPr>
        <w:fldChar w:fldCharType="end"/>
      </w:r>
    </w:p>
    <w:p>
      <w:pPr>
        <w:pStyle w:val="13"/>
        <w:tabs>
          <w:tab w:val="left" w:pos="1282"/>
        </w:tabs>
        <w:spacing w:before="120" w:after="120"/>
        <w:rPr>
          <w:rFonts w:asciiTheme="minorHAnsi" w:hAnsiTheme="minorHAnsi" w:cstheme="minorBidi"/>
          <w:b w:val="0"/>
          <w:bCs w:val="0"/>
          <w:iCs w:val="0"/>
          <w:szCs w:val="22"/>
        </w:rPr>
      </w:pPr>
      <w:r>
        <w:fldChar w:fldCharType="begin"/>
      </w:r>
      <w:r>
        <w:instrText xml:space="preserve"> HYPERLINK \l "_Toc131790364" </w:instrText>
      </w:r>
      <w:r>
        <w:fldChar w:fldCharType="separate"/>
      </w:r>
      <w:r>
        <w:rPr>
          <w:rStyle w:val="24"/>
          <w:rFonts w:eastAsia="宋体"/>
        </w:rPr>
        <w:t>Proposal 7:</w:t>
      </w:r>
      <w:r>
        <w:rPr>
          <w:rFonts w:asciiTheme="minorHAnsi" w:hAnsiTheme="minorHAnsi" w:cstheme="minorBidi"/>
          <w:b w:val="0"/>
          <w:bCs w:val="0"/>
          <w:iCs w:val="0"/>
          <w:szCs w:val="22"/>
        </w:rPr>
        <w:tab/>
      </w:r>
      <w:r>
        <w:rPr>
          <w:rStyle w:val="24"/>
        </w:rPr>
        <w:t>To reduce signaling overhead and guarantee performance, each bit in a bitmap corresponds to two ports with different polarization directions but in same position.</w:t>
      </w:r>
      <w:r>
        <w:rPr>
          <w:rStyle w:val="24"/>
        </w:rPr>
        <w:fldChar w:fldCharType="end"/>
      </w:r>
    </w:p>
    <w:p>
      <w:pPr>
        <w:pStyle w:val="13"/>
        <w:tabs>
          <w:tab w:val="left" w:pos="1282"/>
        </w:tabs>
        <w:spacing w:before="120" w:after="120"/>
        <w:rPr>
          <w:rFonts w:asciiTheme="minorHAnsi" w:hAnsiTheme="minorHAnsi" w:cstheme="minorBidi"/>
          <w:b w:val="0"/>
          <w:bCs w:val="0"/>
          <w:iCs w:val="0"/>
          <w:szCs w:val="22"/>
        </w:rPr>
      </w:pPr>
      <w:r>
        <w:fldChar w:fldCharType="begin"/>
      </w:r>
      <w:r>
        <w:instrText xml:space="preserve"> HYPERLINK \l "_Toc131790365" </w:instrText>
      </w:r>
      <w:r>
        <w:fldChar w:fldCharType="separate"/>
      </w:r>
      <w:r>
        <w:rPr>
          <w:rStyle w:val="24"/>
          <w:rFonts w:eastAsia="宋体"/>
        </w:rPr>
        <w:t>Proposal 8:</w:t>
      </w:r>
      <w:r>
        <w:rPr>
          <w:rFonts w:asciiTheme="minorHAnsi" w:hAnsiTheme="minorHAnsi" w:cstheme="minorBidi"/>
          <w:b w:val="0"/>
          <w:bCs w:val="0"/>
          <w:iCs w:val="0"/>
          <w:szCs w:val="22"/>
        </w:rPr>
        <w:tab/>
      </w:r>
      <w:r>
        <w:rPr>
          <w:rStyle w:val="24"/>
        </w:rPr>
        <w:t>Differential RI can be considered to reduce UCI overhead.</w:t>
      </w:r>
      <w:r>
        <w:rPr>
          <w:rStyle w:val="24"/>
        </w:rPr>
        <w:fldChar w:fldCharType="end"/>
      </w:r>
    </w:p>
    <w:p>
      <w:pPr>
        <w:pStyle w:val="13"/>
        <w:tabs>
          <w:tab w:val="left" w:pos="1282"/>
        </w:tabs>
        <w:spacing w:before="120" w:after="120"/>
        <w:rPr>
          <w:rFonts w:asciiTheme="minorHAnsi" w:hAnsiTheme="minorHAnsi" w:cstheme="minorBidi"/>
          <w:b w:val="0"/>
          <w:bCs w:val="0"/>
          <w:iCs w:val="0"/>
          <w:szCs w:val="22"/>
        </w:rPr>
      </w:pPr>
      <w:r>
        <w:fldChar w:fldCharType="begin"/>
      </w:r>
      <w:r>
        <w:instrText xml:space="preserve"> HYPERLINK \l "_Toc131790366" </w:instrText>
      </w:r>
      <w:r>
        <w:fldChar w:fldCharType="separate"/>
      </w:r>
      <w:r>
        <w:rPr>
          <w:rStyle w:val="24"/>
          <w:rFonts w:eastAsia="宋体"/>
        </w:rPr>
        <w:t>Proposal 9:</w:t>
      </w:r>
      <w:r>
        <w:rPr>
          <w:rFonts w:asciiTheme="minorHAnsi" w:hAnsiTheme="minorHAnsi" w:cstheme="minorBidi"/>
          <w:b w:val="0"/>
          <w:bCs w:val="0"/>
          <w:iCs w:val="0"/>
          <w:szCs w:val="22"/>
        </w:rPr>
        <w:tab/>
      </w:r>
      <w:r>
        <w:rPr>
          <w:rStyle w:val="24"/>
        </w:rPr>
        <w:t>Differential CQI can be considered to reduce UCI overhead.</w:t>
      </w:r>
      <w:r>
        <w:rPr>
          <w:rStyle w:val="24"/>
        </w:rPr>
        <w:fldChar w:fldCharType="end"/>
      </w:r>
    </w:p>
    <w:p>
      <w:pPr>
        <w:pStyle w:val="13"/>
        <w:tabs>
          <w:tab w:val="left" w:pos="1470"/>
        </w:tabs>
        <w:spacing w:before="120" w:after="120"/>
        <w:rPr>
          <w:rFonts w:asciiTheme="minorHAnsi" w:hAnsiTheme="minorHAnsi" w:cstheme="minorBidi"/>
          <w:b w:val="0"/>
          <w:bCs w:val="0"/>
          <w:iCs w:val="0"/>
          <w:szCs w:val="22"/>
        </w:rPr>
      </w:pPr>
      <w:r>
        <w:fldChar w:fldCharType="begin"/>
      </w:r>
      <w:r>
        <w:instrText xml:space="preserve"> HYPERLINK \l "_Toc131790367" </w:instrText>
      </w:r>
      <w:r>
        <w:fldChar w:fldCharType="separate"/>
      </w:r>
      <w:r>
        <w:rPr>
          <w:rStyle w:val="24"/>
          <w:rFonts w:eastAsia="宋体"/>
        </w:rPr>
        <w:t>Proposal 10:</w:t>
      </w:r>
      <w:r>
        <w:rPr>
          <w:rFonts w:asciiTheme="minorHAnsi" w:hAnsiTheme="minorHAnsi" w:cstheme="minorBidi"/>
          <w:b w:val="0"/>
          <w:bCs w:val="0"/>
          <w:iCs w:val="0"/>
          <w:szCs w:val="22"/>
        </w:rPr>
        <w:tab/>
      </w:r>
      <w:r>
        <w:rPr>
          <w:rStyle w:val="24"/>
          <w:rFonts w:eastAsia="宋体"/>
        </w:rPr>
        <w:t>The enhancement on beam management should be deprioritized.</w:t>
      </w:r>
      <w:r>
        <w:rPr>
          <w:rStyle w:val="24"/>
          <w:rFonts w:eastAsia="宋体"/>
        </w:rPr>
        <w:fldChar w:fldCharType="end"/>
      </w:r>
    </w:p>
    <w:p>
      <w:pPr>
        <w:pStyle w:val="13"/>
        <w:tabs>
          <w:tab w:val="left" w:pos="1470"/>
        </w:tabs>
        <w:spacing w:before="120" w:after="120"/>
        <w:rPr>
          <w:rFonts w:asciiTheme="minorHAnsi" w:hAnsiTheme="minorHAnsi" w:cstheme="minorBidi"/>
          <w:b w:val="0"/>
          <w:bCs w:val="0"/>
          <w:iCs w:val="0"/>
          <w:szCs w:val="22"/>
        </w:rPr>
      </w:pPr>
      <w:r>
        <w:fldChar w:fldCharType="begin"/>
      </w:r>
      <w:r>
        <w:instrText xml:space="preserve"> HYPERLINK \l "_Toc131790368" </w:instrText>
      </w:r>
      <w:r>
        <w:fldChar w:fldCharType="separate"/>
      </w:r>
      <w:r>
        <w:rPr>
          <w:rStyle w:val="24"/>
          <w:rFonts w:eastAsia="宋体"/>
        </w:rPr>
        <w:t>Proposal 11:</w:t>
      </w:r>
      <w:r>
        <w:rPr>
          <w:rFonts w:asciiTheme="minorHAnsi" w:hAnsiTheme="minorHAnsi" w:cstheme="minorBidi"/>
          <w:b w:val="0"/>
          <w:bCs w:val="0"/>
          <w:iCs w:val="0"/>
          <w:szCs w:val="22"/>
        </w:rPr>
        <w:tab/>
      </w:r>
      <w:r>
        <w:rPr>
          <w:rStyle w:val="24"/>
        </w:rPr>
        <w:t>Same framework can be used for the enhancement on power domain and the enhancement on spatial domain.</w:t>
      </w:r>
      <w:r>
        <w:rPr>
          <w:rStyle w:val="24"/>
        </w:rPr>
        <w:fldChar w:fldCharType="end"/>
      </w:r>
    </w:p>
    <w:p>
      <w:pPr>
        <w:pStyle w:val="13"/>
        <w:tabs>
          <w:tab w:val="left" w:pos="1470"/>
        </w:tabs>
        <w:spacing w:before="120" w:after="120"/>
        <w:rPr>
          <w:rFonts w:asciiTheme="minorHAnsi" w:hAnsiTheme="minorHAnsi" w:cstheme="minorBidi"/>
          <w:b w:val="0"/>
          <w:bCs w:val="0"/>
          <w:iCs w:val="0"/>
          <w:szCs w:val="22"/>
        </w:rPr>
      </w:pPr>
      <w:r>
        <w:fldChar w:fldCharType="begin"/>
      </w:r>
      <w:r>
        <w:instrText xml:space="preserve"> HYPERLINK \l "_Toc131790369" </w:instrText>
      </w:r>
      <w:r>
        <w:fldChar w:fldCharType="separate"/>
      </w:r>
      <w:r>
        <w:rPr>
          <w:rStyle w:val="24"/>
          <w:rFonts w:eastAsia="宋体"/>
        </w:rPr>
        <w:t>Proposal 12:</w:t>
      </w:r>
      <w:r>
        <w:rPr>
          <w:rFonts w:asciiTheme="minorHAnsi" w:hAnsiTheme="minorHAnsi" w:cstheme="minorBidi"/>
          <w:b w:val="0"/>
          <w:bCs w:val="0"/>
          <w:iCs w:val="0"/>
          <w:szCs w:val="22"/>
        </w:rPr>
        <w:tab/>
      </w:r>
      <w:r>
        <w:rPr>
          <w:rStyle w:val="24"/>
        </w:rPr>
        <w:t>Multi-CSI report with multiple power offset values between PDSCH and CSI-RS should be supported.</w:t>
      </w:r>
      <w:r>
        <w:rPr>
          <w:rStyle w:val="24"/>
        </w:rPr>
        <w:fldChar w:fldCharType="end"/>
      </w:r>
    </w:p>
    <w:p>
      <w:pPr>
        <w:pStyle w:val="13"/>
        <w:tabs>
          <w:tab w:val="left" w:pos="1470"/>
        </w:tabs>
        <w:spacing w:before="120" w:after="120"/>
        <w:rPr>
          <w:rFonts w:asciiTheme="minorHAnsi" w:hAnsiTheme="minorHAnsi" w:cstheme="minorBidi"/>
          <w:b w:val="0"/>
          <w:bCs w:val="0"/>
          <w:iCs w:val="0"/>
          <w:szCs w:val="22"/>
        </w:rPr>
      </w:pPr>
      <w:r>
        <w:fldChar w:fldCharType="begin"/>
      </w:r>
      <w:r>
        <w:instrText xml:space="preserve"> HYPERLINK \l "_Toc131790370" </w:instrText>
      </w:r>
      <w:r>
        <w:fldChar w:fldCharType="separate"/>
      </w:r>
      <w:r>
        <w:rPr>
          <w:rStyle w:val="24"/>
          <w:rFonts w:eastAsia="宋体"/>
        </w:rPr>
        <w:t>Proposal 13:</w:t>
      </w:r>
      <w:r>
        <w:rPr>
          <w:rFonts w:asciiTheme="minorHAnsi" w:hAnsiTheme="minorHAnsi" w:cstheme="minorBidi"/>
          <w:b w:val="0"/>
          <w:bCs w:val="0"/>
          <w:iCs w:val="0"/>
          <w:szCs w:val="22"/>
        </w:rPr>
        <w:tab/>
      </w:r>
      <w:r>
        <w:rPr>
          <w:rStyle w:val="24"/>
        </w:rPr>
        <w:t>Differential CQI should be can be adopted for multi-CSI in one reporting with multiple power offset values.</w:t>
      </w:r>
      <w:r>
        <w:rPr>
          <w:rStyle w:val="24"/>
        </w:rPr>
        <w:fldChar w:fldCharType="end"/>
      </w:r>
    </w:p>
    <w:p>
      <w:pPr>
        <w:pStyle w:val="13"/>
        <w:tabs>
          <w:tab w:val="left" w:pos="1470"/>
        </w:tabs>
        <w:spacing w:before="120" w:after="120"/>
        <w:rPr>
          <w:rFonts w:asciiTheme="minorHAnsi" w:hAnsiTheme="minorHAnsi" w:cstheme="minorBidi"/>
          <w:b w:val="0"/>
          <w:bCs w:val="0"/>
          <w:iCs w:val="0"/>
          <w:szCs w:val="22"/>
        </w:rPr>
      </w:pPr>
      <w:r>
        <w:fldChar w:fldCharType="begin"/>
      </w:r>
      <w:r>
        <w:instrText xml:space="preserve"> HYPERLINK \l "_Toc131790371" </w:instrText>
      </w:r>
      <w:r>
        <w:fldChar w:fldCharType="separate"/>
      </w:r>
      <w:r>
        <w:rPr>
          <w:rStyle w:val="24"/>
          <w:rFonts w:eastAsia="宋体"/>
        </w:rPr>
        <w:t>Proposal 14:</w:t>
      </w:r>
      <w:r>
        <w:rPr>
          <w:rFonts w:asciiTheme="minorHAnsi" w:hAnsiTheme="minorHAnsi" w:cstheme="minorBidi"/>
          <w:b w:val="0"/>
          <w:bCs w:val="0"/>
          <w:iCs w:val="0"/>
          <w:szCs w:val="22"/>
        </w:rPr>
        <w:tab/>
      </w:r>
      <w:r>
        <w:rPr>
          <w:rStyle w:val="24"/>
        </w:rPr>
        <w:t>Dynamic indication can be considered for power domain enhancement.</w:t>
      </w:r>
      <w:r>
        <w:rPr>
          <w:rStyle w:val="24"/>
        </w:rPr>
        <w:fldChar w:fldCharType="end"/>
      </w:r>
    </w:p>
    <w:p>
      <w:pPr>
        <w:spacing w:before="120" w:after="120"/>
      </w:pPr>
      <w:r>
        <w:rPr>
          <w:szCs w:val="21"/>
        </w:rPr>
        <w:fldChar w:fldCharType="end"/>
      </w:r>
    </w:p>
    <w:p>
      <w:pPr>
        <w:pStyle w:val="2"/>
        <w:numPr>
          <w:ilvl w:val="0"/>
          <w:numId w:val="9"/>
        </w:numPr>
        <w:spacing w:before="120" w:after="120"/>
        <w:rPr>
          <w:rFonts w:ascii="Times New Roman" w:hAnsi="Times New Roman" w:eastAsia="宋体"/>
          <w:b/>
          <w:bCs/>
          <w:sz w:val="28"/>
          <w:szCs w:val="28"/>
        </w:rPr>
      </w:pPr>
      <w:r>
        <w:rPr>
          <w:rFonts w:ascii="Times New Roman" w:hAnsi="Times New Roman" w:eastAsia="宋体"/>
          <w:b/>
          <w:bCs/>
          <w:sz w:val="28"/>
          <w:szCs w:val="28"/>
        </w:rPr>
        <w:t>References</w:t>
      </w:r>
    </w:p>
    <w:p>
      <w:pPr>
        <w:pStyle w:val="36"/>
        <w:spacing w:before="120" w:after="120"/>
        <w:ind w:left="363" w:hanging="363"/>
        <w:rPr>
          <w:szCs w:val="21"/>
        </w:rPr>
      </w:pPr>
      <w:bookmarkStart w:id="229" w:name="_Ref17466"/>
      <w:r>
        <w:rPr>
          <w:rFonts w:hint="eastAsia"/>
          <w:szCs w:val="21"/>
        </w:rPr>
        <w:t>Chair</w:t>
      </w:r>
      <w:r>
        <w:rPr>
          <w:szCs w:val="21"/>
        </w:rPr>
        <w:t>’</w:t>
      </w:r>
      <w:r>
        <w:rPr>
          <w:rFonts w:hint="eastAsia"/>
          <w:szCs w:val="21"/>
        </w:rPr>
        <w:t>s notes RAN1#112, 2023-03</w:t>
      </w:r>
      <w:r>
        <w:rPr>
          <w:szCs w:val="21"/>
        </w:rPr>
        <w:t>.</w:t>
      </w:r>
    </w:p>
    <w:bookmarkEnd w:id="229"/>
    <w:p>
      <w:pPr>
        <w:pStyle w:val="36"/>
        <w:numPr>
          <w:ilvl w:val="0"/>
          <w:numId w:val="0"/>
        </w:numPr>
        <w:spacing w:before="120" w:after="120"/>
        <w:rPr>
          <w:sz w:val="20"/>
          <w:szCs w:val="20"/>
        </w:rPr>
      </w:pPr>
    </w:p>
    <w:p>
      <w:pPr>
        <w:pStyle w:val="2"/>
        <w:numPr>
          <w:ilvl w:val="0"/>
          <w:numId w:val="9"/>
        </w:numPr>
        <w:spacing w:before="120" w:after="120"/>
        <w:rPr>
          <w:rFonts w:ascii="Times New Roman" w:hAnsi="Times New Roman"/>
          <w:b/>
          <w:bCs/>
          <w:sz w:val="28"/>
          <w:szCs w:val="28"/>
        </w:rPr>
      </w:pPr>
      <w:r>
        <w:rPr>
          <w:rFonts w:ascii="Times New Roman" w:hAnsi="Times New Roman" w:eastAsia="宋体"/>
          <w:b/>
          <w:bCs/>
          <w:sz w:val="28"/>
          <w:szCs w:val="28"/>
        </w:rPr>
        <w:t>Appendix</w:t>
      </w:r>
    </w:p>
    <w:p>
      <w:pPr>
        <w:spacing w:before="120" w:after="120"/>
        <w:outlineLvl w:val="1"/>
      </w:pPr>
      <w:r>
        <w:rPr>
          <w:rFonts w:hint="eastAsia"/>
        </w:rPr>
        <w:t>A.1 Simulation assumption</w:t>
      </w:r>
      <w:r>
        <w:t>s</w:t>
      </w:r>
    </w:p>
    <w:p>
      <w:pPr>
        <w:spacing w:before="120" w:after="120"/>
        <w:jc w:val="center"/>
      </w:pPr>
      <w:r>
        <w:rPr>
          <w:rFonts w:eastAsiaTheme="minorEastAsia"/>
        </w:rPr>
        <w:t xml:space="preserve">Table A1 BS antenna configuration for </w:t>
      </w:r>
      <w:r>
        <w:t>TxRU adaptation</w:t>
      </w:r>
    </w:p>
    <w:tbl>
      <w:tblPr>
        <w:tblStyle w:val="19"/>
        <w:tblW w:w="498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17"/>
        <w:gridCol w:w="72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8" w:type="pct"/>
            <w:shd w:val="clear" w:color="auto" w:fill="auto"/>
            <w:vAlign w:val="center"/>
          </w:tcPr>
          <w:p>
            <w:pPr>
              <w:spacing w:before="120" w:after="120"/>
              <w:jc w:val="center"/>
              <w:rPr>
                <w:b/>
                <w:bCs/>
              </w:rPr>
            </w:pPr>
            <w:r>
              <w:rPr>
                <w:b/>
                <w:bCs/>
              </w:rPr>
              <w:t>Simulation c</w:t>
            </w:r>
            <w:r>
              <w:rPr>
                <w:rFonts w:hint="eastAsia"/>
                <w:b/>
                <w:bCs/>
              </w:rPr>
              <w:t xml:space="preserve">ase </w:t>
            </w:r>
          </w:p>
        </w:tc>
        <w:tc>
          <w:tcPr>
            <w:tcW w:w="3671" w:type="pct"/>
            <w:shd w:val="clear" w:color="auto" w:fill="auto"/>
            <w:vAlign w:val="center"/>
          </w:tcPr>
          <w:p>
            <w:pPr>
              <w:spacing w:before="120" w:after="120"/>
              <w:jc w:val="center"/>
              <w:rPr>
                <w:b/>
                <w:bCs/>
              </w:rPr>
            </w:pPr>
            <w:r>
              <w:rPr>
                <w:rFonts w:hint="eastAsia"/>
                <w:b/>
                <w:bCs/>
              </w:rPr>
              <w:t xml:space="preserve">Description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8" w:type="pct"/>
            <w:vAlign w:val="center"/>
          </w:tcPr>
          <w:p>
            <w:pPr>
              <w:spacing w:before="120" w:after="120"/>
              <w:jc w:val="center"/>
            </w:pPr>
            <w:r>
              <w:rPr>
                <w:rFonts w:hint="eastAsia"/>
              </w:rPr>
              <w:t>64TxRU</w:t>
            </w:r>
          </w:p>
        </w:tc>
        <w:tc>
          <w:tcPr>
            <w:tcW w:w="3671" w:type="pct"/>
            <w:vAlign w:val="center"/>
          </w:tcPr>
          <w:p>
            <w:pPr>
              <w:spacing w:before="120" w:after="120"/>
              <w:jc w:val="center"/>
            </w:pPr>
            <w:r>
              <w:rPr>
                <w:rFonts w:hint="eastAsia"/>
              </w:rPr>
              <w:t>(M, N, P, Mg, Ng) = (8, 8, 2, 1, 1)</w:t>
            </w:r>
            <w:r>
              <w:t xml:space="preserve">; </w:t>
            </w:r>
            <w:r>
              <w:rPr>
                <w:rFonts w:hint="eastAsia"/>
              </w:rPr>
              <w:t>Max</w:t>
            </w:r>
            <w:r>
              <w:t xml:space="preserve"> transmission power=55dBm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8" w:type="pct"/>
            <w:vAlign w:val="center"/>
          </w:tcPr>
          <w:p>
            <w:pPr>
              <w:spacing w:before="120" w:after="120"/>
              <w:jc w:val="center"/>
            </w:pPr>
            <w:r>
              <w:rPr>
                <w:rFonts w:hint="eastAsia"/>
              </w:rPr>
              <w:t>32TxRU</w:t>
            </w:r>
          </w:p>
        </w:tc>
        <w:tc>
          <w:tcPr>
            <w:tcW w:w="3671" w:type="pct"/>
            <w:vAlign w:val="center"/>
          </w:tcPr>
          <w:p>
            <w:pPr>
              <w:spacing w:before="120" w:after="120"/>
              <w:jc w:val="center"/>
            </w:pPr>
            <w:r>
              <w:rPr>
                <w:rFonts w:hint="eastAsia"/>
              </w:rPr>
              <w:t>(M, N, P, Mg, Ng) = (8, 4, 2, 1, 1)</w:t>
            </w:r>
            <w:r>
              <w:t xml:space="preserve">; </w:t>
            </w:r>
            <w:r>
              <w:rPr>
                <w:rFonts w:hint="eastAsia"/>
              </w:rPr>
              <w:t>Max</w:t>
            </w:r>
            <w:r>
              <w:t xml:space="preserve"> transmission power=52dBm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8" w:type="pct"/>
            <w:vAlign w:val="center"/>
          </w:tcPr>
          <w:p>
            <w:pPr>
              <w:spacing w:before="120" w:after="120"/>
              <w:jc w:val="center"/>
            </w:pPr>
            <w:r>
              <w:rPr>
                <w:rFonts w:hint="eastAsia"/>
              </w:rPr>
              <w:t>16TxRU</w:t>
            </w:r>
          </w:p>
        </w:tc>
        <w:tc>
          <w:tcPr>
            <w:tcW w:w="3671" w:type="pct"/>
            <w:vAlign w:val="center"/>
          </w:tcPr>
          <w:p>
            <w:pPr>
              <w:spacing w:before="120" w:after="120"/>
              <w:jc w:val="center"/>
            </w:pPr>
            <w:r>
              <w:rPr>
                <w:rFonts w:hint="eastAsia"/>
              </w:rPr>
              <w:t>(M, N, P, Mg, Ng) = (4, 4, 2, 1, 1)</w:t>
            </w:r>
            <w:r>
              <w:t xml:space="preserve">; </w:t>
            </w:r>
            <w:r>
              <w:rPr>
                <w:rFonts w:hint="eastAsia"/>
              </w:rPr>
              <w:t>Max</w:t>
            </w:r>
            <w:r>
              <w:t xml:space="preserve"> transmission power=</w:t>
            </w:r>
            <w:r>
              <w:rPr>
                <w:rFonts w:hint="eastAsia"/>
              </w:rPr>
              <w:t>49</w:t>
            </w:r>
            <w: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8" w:type="pct"/>
            <w:vAlign w:val="center"/>
          </w:tcPr>
          <w:p>
            <w:pPr>
              <w:spacing w:before="120" w:after="120"/>
              <w:jc w:val="center"/>
            </w:pPr>
            <w:r>
              <w:rPr>
                <w:rFonts w:hint="eastAsia"/>
              </w:rPr>
              <w:t>8TxRU</w:t>
            </w:r>
          </w:p>
        </w:tc>
        <w:tc>
          <w:tcPr>
            <w:tcW w:w="3671" w:type="pct"/>
            <w:vAlign w:val="center"/>
          </w:tcPr>
          <w:p>
            <w:pPr>
              <w:spacing w:before="120" w:after="120"/>
              <w:jc w:val="center"/>
            </w:pPr>
            <w:r>
              <w:rPr>
                <w:rFonts w:hint="eastAsia"/>
              </w:rPr>
              <w:t>(M, N, P, Mg, Ng) = (4, 2, 2, 1, 1)</w:t>
            </w:r>
            <w:r>
              <w:t xml:space="preserve">; </w:t>
            </w:r>
            <w:r>
              <w:rPr>
                <w:rFonts w:hint="eastAsia"/>
              </w:rPr>
              <w:t>Max</w:t>
            </w:r>
            <w:r>
              <w:t xml:space="preserve"> transmission power=</w:t>
            </w:r>
            <w:r>
              <w:rPr>
                <w:rFonts w:hint="eastAsia"/>
              </w:rPr>
              <w:t>46</w:t>
            </w:r>
            <w:r>
              <w:t>dBm</w:t>
            </w:r>
          </w:p>
        </w:tc>
      </w:tr>
    </w:tbl>
    <w:p>
      <w:pPr>
        <w:pStyle w:val="6"/>
        <w:spacing w:before="120" w:after="120"/>
        <w:jc w:val="center"/>
        <w:rPr>
          <w:rFonts w:ascii="Times New Roman" w:hAnsi="Times New Roman"/>
          <w:sz w:val="21"/>
          <w:szCs w:val="21"/>
        </w:rPr>
      </w:pPr>
    </w:p>
    <w:p>
      <w:pPr>
        <w:pStyle w:val="6"/>
        <w:spacing w:before="120" w:after="120"/>
        <w:jc w:val="center"/>
        <w:rPr>
          <w:rFonts w:ascii="Times New Roman" w:hAnsi="Times New Roman"/>
          <w:sz w:val="21"/>
          <w:szCs w:val="21"/>
        </w:rPr>
      </w:pPr>
      <w:r>
        <w:rPr>
          <w:rFonts w:ascii="Times New Roman" w:hAnsi="Times New Roman"/>
          <w:sz w:val="21"/>
          <w:szCs w:val="21"/>
        </w:rPr>
        <w:t>Table A</w:t>
      </w:r>
      <w:r>
        <w:rPr>
          <w:rFonts w:hint="eastAsia" w:ascii="Times New Roman" w:hAnsi="Times New Roman"/>
          <w:sz w:val="21"/>
          <w:szCs w:val="21"/>
        </w:rPr>
        <w:t>2</w:t>
      </w:r>
      <w:r>
        <w:rPr>
          <w:rFonts w:ascii="Times New Roman" w:hAnsi="Times New Roman"/>
          <w:sz w:val="21"/>
          <w:szCs w:val="21"/>
        </w:rPr>
        <w:t xml:space="preserve"> Evaluation assumptions</w:t>
      </w:r>
      <w:r>
        <w:rPr>
          <w:rFonts w:hint="eastAsia" w:ascii="Times New Roman" w:hAnsi="Times New Roman"/>
          <w:sz w:val="21"/>
          <w:szCs w:val="21"/>
        </w:rPr>
        <w:t xml:space="preserve"> </w:t>
      </w:r>
      <w:r>
        <w:rPr>
          <w:rFonts w:ascii="Times New Roman" w:hAnsi="Times New Roman"/>
          <w:sz w:val="21"/>
          <w:szCs w:val="21"/>
        </w:rPr>
        <w:t>for UMa scenario</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08"/>
        <w:gridCol w:w="75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spacing w:before="120" w:after="120"/>
              <w:jc w:val="center"/>
              <w:rPr>
                <w:b/>
                <w:bCs/>
                <w:szCs w:val="21"/>
              </w:rPr>
            </w:pPr>
            <w:r>
              <w:rPr>
                <w:b/>
                <w:bCs/>
                <w:szCs w:val="21"/>
                <w:lang w:eastAsia="ko-KR"/>
              </w:rPr>
              <w:t>Parameters</w:t>
            </w:r>
          </w:p>
        </w:tc>
        <w:tc>
          <w:tcPr>
            <w:tcW w:w="7566" w:type="dxa"/>
            <w:vAlign w:val="center"/>
          </w:tcPr>
          <w:p>
            <w:pPr>
              <w:spacing w:before="120" w:after="120"/>
              <w:jc w:val="center"/>
              <w:rPr>
                <w:b/>
                <w:bCs/>
                <w:szCs w:val="21"/>
              </w:rPr>
            </w:pPr>
            <w:r>
              <w:rPr>
                <w:b/>
                <w:bCs/>
                <w:szCs w:val="21"/>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spacing w:before="120" w:after="120"/>
              <w:jc w:val="center"/>
              <w:rPr>
                <w:szCs w:val="21"/>
                <w:lang w:eastAsia="ko-KR"/>
              </w:rPr>
            </w:pPr>
            <w:r>
              <w:rPr>
                <w:szCs w:val="21"/>
              </w:rPr>
              <w:t>Duplex Mode / Simulation bandwidth</w:t>
            </w:r>
          </w:p>
        </w:tc>
        <w:tc>
          <w:tcPr>
            <w:tcW w:w="7566" w:type="dxa"/>
            <w:vAlign w:val="center"/>
          </w:tcPr>
          <w:p>
            <w:pPr>
              <w:spacing w:before="120" w:after="120"/>
              <w:jc w:val="center"/>
              <w:rPr>
                <w:szCs w:val="21"/>
              </w:rPr>
            </w:pPr>
            <w:r>
              <w:rPr>
                <w:szCs w:val="21"/>
              </w:rPr>
              <w:t>TDD/100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spacing w:before="120" w:after="120"/>
              <w:jc w:val="center"/>
              <w:rPr>
                <w:szCs w:val="21"/>
                <w:lang w:eastAsia="ko-KR"/>
              </w:rPr>
            </w:pPr>
            <w:r>
              <w:rPr>
                <w:szCs w:val="21"/>
              </w:rPr>
              <w:t>Scenario</w:t>
            </w:r>
          </w:p>
        </w:tc>
        <w:tc>
          <w:tcPr>
            <w:tcW w:w="7566" w:type="dxa"/>
            <w:vAlign w:val="center"/>
          </w:tcPr>
          <w:p>
            <w:pPr>
              <w:pStyle w:val="53"/>
              <w:spacing w:before="120" w:after="120"/>
              <w:rPr>
                <w:rFonts w:ascii="Times New Roman" w:hAnsi="Times New Roman"/>
                <w:sz w:val="21"/>
                <w:szCs w:val="21"/>
              </w:rPr>
            </w:pPr>
            <w:r>
              <w:rPr>
                <w:rFonts w:ascii="Times New Roman" w:hAnsi="Times New Roman"/>
                <w:sz w:val="21"/>
                <w:szCs w:val="21"/>
              </w:rPr>
              <w:t>Urban Macro;</w:t>
            </w:r>
          </w:p>
          <w:p>
            <w:pPr>
              <w:spacing w:before="120" w:after="120"/>
              <w:jc w:val="center"/>
              <w:rPr>
                <w:szCs w:val="21"/>
                <w:lang w:eastAsia="ko-KR"/>
              </w:rPr>
            </w:pPr>
            <w:r>
              <w:rPr>
                <w:szCs w:val="21"/>
                <w:lang w:eastAsia="ko-KR"/>
              </w:rPr>
              <w:t xml:space="preserve">Hexagonal grid, </w:t>
            </w:r>
            <w:r>
              <w:rPr>
                <w:szCs w:val="21"/>
              </w:rPr>
              <w:t>7</w:t>
            </w:r>
            <w:r>
              <w:rPr>
                <w:szCs w:val="21"/>
                <w:lang w:eastAsia="ko-KR"/>
              </w:rPr>
              <w:t xml:space="preserve"> macro sites, 3 sectors per 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spacing w:before="120" w:after="120"/>
              <w:jc w:val="center"/>
              <w:rPr>
                <w:szCs w:val="21"/>
                <w:lang w:eastAsia="ko-KR"/>
              </w:rPr>
            </w:pPr>
            <w:r>
              <w:rPr>
                <w:szCs w:val="21"/>
              </w:rPr>
              <w:t>Inter-BS distance</w:t>
            </w:r>
          </w:p>
        </w:tc>
        <w:tc>
          <w:tcPr>
            <w:tcW w:w="7566" w:type="dxa"/>
            <w:vAlign w:val="center"/>
          </w:tcPr>
          <w:p>
            <w:pPr>
              <w:spacing w:before="120" w:after="120"/>
              <w:jc w:val="center"/>
              <w:rPr>
                <w:szCs w:val="21"/>
              </w:rPr>
            </w:pPr>
            <w:r>
              <w:rPr>
                <w:szCs w:val="21"/>
              </w:rPr>
              <w:t>500m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spacing w:before="120" w:after="120"/>
              <w:jc w:val="center"/>
              <w:rPr>
                <w:szCs w:val="21"/>
                <w:lang w:eastAsia="ko-KR"/>
              </w:rPr>
            </w:pPr>
            <w:r>
              <w:rPr>
                <w:szCs w:val="21"/>
                <w:lang w:val="fr-FR" w:eastAsia="ko-KR"/>
              </w:rPr>
              <w:t>Min. BS - U</w:t>
            </w:r>
            <w:r>
              <w:rPr>
                <w:szCs w:val="21"/>
              </w:rPr>
              <w:t>E</w:t>
            </w:r>
            <w:r>
              <w:rPr>
                <w:szCs w:val="21"/>
                <w:lang w:val="fr-FR" w:eastAsia="ko-KR"/>
              </w:rPr>
              <w:t xml:space="preserve"> distance</w:t>
            </w:r>
          </w:p>
        </w:tc>
        <w:tc>
          <w:tcPr>
            <w:tcW w:w="7566" w:type="dxa"/>
            <w:vAlign w:val="center"/>
          </w:tcPr>
          <w:p>
            <w:pPr>
              <w:spacing w:before="120" w:after="120"/>
              <w:jc w:val="center"/>
              <w:rPr>
                <w:szCs w:val="21"/>
                <w:lang w:eastAsia="ko-KR"/>
              </w:rPr>
            </w:pPr>
            <w:r>
              <w:rPr>
                <w:szCs w:val="21"/>
                <w:lang w:eastAsia="ko-KR"/>
              </w:rPr>
              <w:t>35m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spacing w:before="120" w:after="120"/>
              <w:jc w:val="center"/>
              <w:rPr>
                <w:szCs w:val="21"/>
                <w:lang w:eastAsia="ko-KR"/>
              </w:rPr>
            </w:pPr>
            <w:r>
              <w:rPr>
                <w:szCs w:val="21"/>
              </w:rPr>
              <w:t>Carrier frequency</w:t>
            </w:r>
          </w:p>
        </w:tc>
        <w:tc>
          <w:tcPr>
            <w:tcW w:w="7566" w:type="dxa"/>
            <w:vAlign w:val="center"/>
          </w:tcPr>
          <w:p>
            <w:pPr>
              <w:spacing w:before="120" w:after="120"/>
              <w:jc w:val="center"/>
              <w:rPr>
                <w:szCs w:val="21"/>
              </w:rPr>
            </w:pPr>
            <w:r>
              <w:rPr>
                <w:szCs w:val="21"/>
              </w:rPr>
              <w:t>4GHz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spacing w:before="120" w:after="120"/>
              <w:jc w:val="center"/>
              <w:rPr>
                <w:szCs w:val="21"/>
                <w:lang w:eastAsia="ko-KR"/>
              </w:rPr>
            </w:pPr>
            <w:r>
              <w:rPr>
                <w:szCs w:val="21"/>
              </w:rPr>
              <w:t>SCS</w:t>
            </w:r>
          </w:p>
        </w:tc>
        <w:tc>
          <w:tcPr>
            <w:tcW w:w="7566" w:type="dxa"/>
            <w:vAlign w:val="center"/>
          </w:tcPr>
          <w:p>
            <w:pPr>
              <w:spacing w:before="120" w:after="120"/>
              <w:jc w:val="center"/>
              <w:rPr>
                <w:szCs w:val="21"/>
              </w:rPr>
            </w:pPr>
            <w:r>
              <w:rPr>
                <w:szCs w:val="21"/>
              </w:rPr>
              <w:t>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spacing w:before="120" w:after="120"/>
              <w:jc w:val="center"/>
              <w:rPr>
                <w:szCs w:val="21"/>
                <w:lang w:eastAsia="ko-KR"/>
              </w:rPr>
            </w:pPr>
            <w:r>
              <w:rPr>
                <w:szCs w:val="21"/>
              </w:rPr>
              <w:t>TDD pattern</w:t>
            </w:r>
          </w:p>
        </w:tc>
        <w:tc>
          <w:tcPr>
            <w:tcW w:w="7566" w:type="dxa"/>
            <w:vAlign w:val="center"/>
          </w:tcPr>
          <w:p>
            <w:pPr>
              <w:spacing w:before="120" w:after="120"/>
              <w:jc w:val="center"/>
              <w:rPr>
                <w:szCs w:val="21"/>
              </w:rPr>
            </w:pPr>
            <w:r>
              <w:rPr>
                <w:szCs w:val="21"/>
              </w:rPr>
              <w:t>DDDSU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spacing w:before="120" w:after="120"/>
              <w:jc w:val="center"/>
              <w:rPr>
                <w:szCs w:val="21"/>
                <w:lang w:eastAsia="ko-KR"/>
              </w:rPr>
            </w:pPr>
            <w:r>
              <w:rPr>
                <w:szCs w:val="21"/>
              </w:rPr>
              <w:t>BS Antenna Configuration</w:t>
            </w:r>
          </w:p>
        </w:tc>
        <w:tc>
          <w:tcPr>
            <w:tcW w:w="7566" w:type="dxa"/>
            <w:vAlign w:val="center"/>
          </w:tcPr>
          <w:p>
            <w:pPr>
              <w:spacing w:before="120" w:after="120"/>
              <w:jc w:val="center"/>
              <w:textAlignment w:val="center"/>
              <w:rPr>
                <w:szCs w:val="21"/>
              </w:rPr>
            </w:pPr>
            <w:r>
              <w:rPr>
                <w:szCs w:val="21"/>
              </w:rPr>
              <w:t>64Tx antenna ports, and (dH, dV) = (0.5λ, 0.</w:t>
            </w:r>
            <w:r>
              <w:rPr>
                <w:rFonts w:hint="eastAsia"/>
                <w:szCs w:val="21"/>
              </w:rPr>
              <w:t>8</w:t>
            </w:r>
            <w:r>
              <w:rPr>
                <w:szCs w:val="21"/>
              </w:rPr>
              <w:t>λ);</w:t>
            </w:r>
          </w:p>
          <w:p>
            <w:pPr>
              <w:spacing w:before="120" w:after="120"/>
              <w:jc w:val="center"/>
              <w:textAlignment w:val="center"/>
              <w:rPr>
                <w:szCs w:val="21"/>
              </w:rPr>
            </w:pPr>
            <w:r>
              <w:rPr>
                <w:szCs w:val="21"/>
              </w:rPr>
              <w:t>64Tx: (M, N, P, Mg, Ng; Mp, Np) = (8,8,2,1,1; 4,8)</w:t>
            </w:r>
          </w:p>
          <w:p>
            <w:pPr>
              <w:spacing w:before="120" w:after="120"/>
              <w:jc w:val="center"/>
              <w:rPr>
                <w:szCs w:val="21"/>
              </w:rPr>
            </w:pPr>
            <w:r>
              <w:rPr>
                <w:szCs w:val="21"/>
              </w:rPr>
              <w:t>The antenna tilt is 12 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spacing w:before="120" w:after="120"/>
              <w:jc w:val="center"/>
              <w:rPr>
                <w:szCs w:val="21"/>
                <w:lang w:eastAsia="ko-KR"/>
              </w:rPr>
            </w:pPr>
            <w:r>
              <w:rPr>
                <w:szCs w:val="21"/>
              </w:rPr>
              <w:t>UE Antenna Configuration</w:t>
            </w:r>
          </w:p>
        </w:tc>
        <w:tc>
          <w:tcPr>
            <w:tcW w:w="7566" w:type="dxa"/>
            <w:vAlign w:val="center"/>
          </w:tcPr>
          <w:p>
            <w:pPr>
              <w:spacing w:before="120" w:after="120"/>
              <w:jc w:val="center"/>
              <w:textAlignment w:val="center"/>
              <w:rPr>
                <w:szCs w:val="21"/>
              </w:rPr>
            </w:pPr>
            <w:r>
              <w:rPr>
                <w:szCs w:val="21"/>
              </w:rPr>
              <w:t>4 Rx antenna ports, and dH = 0.5λ</w:t>
            </w:r>
          </w:p>
          <w:p>
            <w:pPr>
              <w:spacing w:before="120" w:after="120"/>
              <w:jc w:val="center"/>
              <w:rPr>
                <w:szCs w:val="21"/>
              </w:rPr>
            </w:pPr>
            <w:r>
              <w:rPr>
                <w:szCs w:val="21"/>
              </w:rPr>
              <w:t>4 Rx: (M, N, P, Mg, Ng; Mp, Np) = (1,2,2,1,1;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spacing w:before="120" w:after="120"/>
              <w:jc w:val="center"/>
              <w:rPr>
                <w:szCs w:val="21"/>
                <w:lang w:eastAsia="ko-KR"/>
              </w:rPr>
            </w:pPr>
            <w:r>
              <w:rPr>
                <w:szCs w:val="21"/>
              </w:rPr>
              <w:t>Total DL power level</w:t>
            </w:r>
          </w:p>
        </w:tc>
        <w:tc>
          <w:tcPr>
            <w:tcW w:w="7566" w:type="dxa"/>
            <w:vAlign w:val="center"/>
          </w:tcPr>
          <w:p>
            <w:pPr>
              <w:spacing w:before="120" w:after="120"/>
              <w:jc w:val="center"/>
              <w:rPr>
                <w:szCs w:val="21"/>
              </w:rPr>
            </w:pPr>
            <w:r>
              <w:rPr>
                <w:szCs w:val="21"/>
              </w:rPr>
              <w:t>55dBm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spacing w:before="120" w:after="120"/>
              <w:jc w:val="center"/>
              <w:rPr>
                <w:szCs w:val="21"/>
              </w:rPr>
            </w:pPr>
            <w:r>
              <w:rPr>
                <w:szCs w:val="21"/>
              </w:rPr>
              <w:t>UE transmit power</w:t>
            </w:r>
          </w:p>
        </w:tc>
        <w:tc>
          <w:tcPr>
            <w:tcW w:w="7566" w:type="dxa"/>
            <w:vAlign w:val="center"/>
          </w:tcPr>
          <w:p>
            <w:pPr>
              <w:spacing w:before="120" w:after="120"/>
              <w:jc w:val="center"/>
              <w:rPr>
                <w:szCs w:val="21"/>
              </w:rPr>
            </w:pPr>
            <w:r>
              <w:rPr>
                <w:szCs w:val="21"/>
              </w:rPr>
              <w:t>23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spacing w:before="120" w:after="120"/>
              <w:jc w:val="center"/>
              <w:rPr>
                <w:szCs w:val="21"/>
                <w:lang w:eastAsia="ko-KR"/>
              </w:rPr>
            </w:pPr>
            <w:r>
              <w:rPr>
                <w:szCs w:val="21"/>
              </w:rPr>
              <w:t>Antenna Height</w:t>
            </w:r>
          </w:p>
        </w:tc>
        <w:tc>
          <w:tcPr>
            <w:tcW w:w="7566" w:type="dxa"/>
            <w:vAlign w:val="center"/>
          </w:tcPr>
          <w:p>
            <w:pPr>
              <w:spacing w:before="120" w:after="120"/>
              <w:jc w:val="center"/>
              <w:rPr>
                <w:szCs w:val="21"/>
              </w:rPr>
            </w:pPr>
            <w:r>
              <w:rPr>
                <w:szCs w:val="21"/>
              </w:rPr>
              <w:t>25 m for BS and 1.5 m for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spacing w:before="120" w:after="120"/>
              <w:jc w:val="center"/>
              <w:rPr>
                <w:szCs w:val="21"/>
                <w:lang w:eastAsia="ko-KR"/>
              </w:rPr>
            </w:pPr>
            <w:r>
              <w:rPr>
                <w:szCs w:val="21"/>
              </w:rPr>
              <w:t>Antenna Element Gain</w:t>
            </w:r>
          </w:p>
        </w:tc>
        <w:tc>
          <w:tcPr>
            <w:tcW w:w="7566" w:type="dxa"/>
            <w:vAlign w:val="center"/>
          </w:tcPr>
          <w:p>
            <w:pPr>
              <w:spacing w:before="120" w:after="120"/>
              <w:jc w:val="center"/>
              <w:rPr>
                <w:szCs w:val="21"/>
              </w:rPr>
            </w:pPr>
            <w:r>
              <w:rPr>
                <w:szCs w:val="21"/>
              </w:rPr>
              <w:t>8dBi for BS and 0 dBi for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pStyle w:val="53"/>
              <w:spacing w:before="120" w:after="120"/>
              <w:rPr>
                <w:rFonts w:ascii="Times New Roman" w:hAnsi="Times New Roman"/>
                <w:sz w:val="21"/>
                <w:szCs w:val="21"/>
              </w:rPr>
            </w:pPr>
            <w:r>
              <w:rPr>
                <w:rFonts w:ascii="Times New Roman" w:hAnsi="Times New Roman"/>
                <w:sz w:val="21"/>
                <w:szCs w:val="21"/>
              </w:rPr>
              <w:t>Receiver Noise Figure</w:t>
            </w:r>
          </w:p>
        </w:tc>
        <w:tc>
          <w:tcPr>
            <w:tcW w:w="7566" w:type="dxa"/>
            <w:vAlign w:val="center"/>
          </w:tcPr>
          <w:p>
            <w:pPr>
              <w:pStyle w:val="53"/>
              <w:spacing w:before="120" w:after="120"/>
              <w:rPr>
                <w:rFonts w:ascii="Times New Roman" w:hAnsi="Times New Roman"/>
                <w:sz w:val="21"/>
                <w:szCs w:val="21"/>
              </w:rPr>
            </w:pPr>
            <w:r>
              <w:rPr>
                <w:rFonts w:ascii="Times New Roman" w:hAnsi="Times New Roman"/>
                <w:sz w:val="21"/>
                <w:szCs w:val="21"/>
              </w:rPr>
              <w:t>5 dB for BS and 9 dB for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pStyle w:val="53"/>
              <w:spacing w:before="120" w:after="120"/>
              <w:rPr>
                <w:rFonts w:ascii="Times New Roman" w:hAnsi="Times New Roman"/>
                <w:sz w:val="21"/>
                <w:szCs w:val="21"/>
              </w:rPr>
            </w:pPr>
            <w:r>
              <w:rPr>
                <w:rFonts w:ascii="Times New Roman" w:hAnsi="Times New Roman"/>
                <w:sz w:val="21"/>
                <w:szCs w:val="21"/>
              </w:rPr>
              <w:t>UE distribution</w:t>
            </w:r>
          </w:p>
        </w:tc>
        <w:tc>
          <w:tcPr>
            <w:tcW w:w="7566" w:type="dxa"/>
            <w:vAlign w:val="center"/>
          </w:tcPr>
          <w:p>
            <w:pPr>
              <w:spacing w:before="120" w:after="120"/>
              <w:jc w:val="center"/>
              <w:textAlignment w:val="center"/>
              <w:rPr>
                <w:szCs w:val="21"/>
              </w:rPr>
            </w:pPr>
            <w:r>
              <w:rPr>
                <w:szCs w:val="21"/>
              </w:rPr>
              <w:t>Uniform in cell;</w:t>
            </w:r>
          </w:p>
          <w:p>
            <w:pPr>
              <w:spacing w:before="120" w:after="120"/>
              <w:jc w:val="center"/>
              <w:textAlignment w:val="center"/>
              <w:rPr>
                <w:szCs w:val="21"/>
              </w:rPr>
            </w:pPr>
            <w:r>
              <w:rPr>
                <w:szCs w:val="21"/>
              </w:rPr>
              <w:t>80% of users are indoor, 20% of users are outdoor;</w:t>
            </w:r>
          </w:p>
          <w:p>
            <w:pPr>
              <w:pStyle w:val="53"/>
              <w:spacing w:before="120" w:after="120"/>
              <w:rPr>
                <w:rFonts w:ascii="Times New Roman" w:hAnsi="Times New Roman"/>
                <w:sz w:val="21"/>
                <w:szCs w:val="21"/>
              </w:rPr>
            </w:pPr>
            <w:r>
              <w:rPr>
                <w:rFonts w:ascii="Times New Roman" w:hAnsi="Times New Roman"/>
                <w:sz w:val="21"/>
                <w:szCs w:val="21"/>
              </w:rPr>
              <w:t>Use 3km/h for modeling fading 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pStyle w:val="53"/>
              <w:spacing w:before="120" w:after="120"/>
              <w:rPr>
                <w:rFonts w:ascii="Times New Roman" w:hAnsi="Times New Roman"/>
                <w:sz w:val="21"/>
                <w:szCs w:val="21"/>
              </w:rPr>
            </w:pPr>
            <w:r>
              <w:rPr>
                <w:rFonts w:ascii="Times New Roman" w:hAnsi="Times New Roman"/>
                <w:sz w:val="21"/>
                <w:szCs w:val="21"/>
              </w:rPr>
              <w:t>Number of UEs per cell</w:t>
            </w:r>
          </w:p>
        </w:tc>
        <w:tc>
          <w:tcPr>
            <w:tcW w:w="7566" w:type="dxa"/>
            <w:vAlign w:val="center"/>
          </w:tcPr>
          <w:p>
            <w:pPr>
              <w:pStyle w:val="53"/>
              <w:spacing w:before="120" w:after="120"/>
              <w:rPr>
                <w:rFonts w:ascii="Times New Roman" w:hAnsi="Times New Roman"/>
                <w:sz w:val="21"/>
                <w:szCs w:val="21"/>
              </w:rPr>
            </w:pPr>
            <w:r>
              <w:rPr>
                <w:rFonts w:ascii="Times New Roman" w:hAnsi="Times New Roman"/>
                <w:sz w:val="21"/>
                <w:szCs w:val="21"/>
              </w:rPr>
              <w:t>Depends on RU requirement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pStyle w:val="53"/>
              <w:spacing w:before="120" w:after="120"/>
              <w:rPr>
                <w:rFonts w:ascii="Times New Roman" w:hAnsi="Times New Roman"/>
                <w:sz w:val="21"/>
                <w:szCs w:val="21"/>
              </w:rPr>
            </w:pPr>
            <w:r>
              <w:rPr>
                <w:rFonts w:ascii="Times New Roman" w:hAnsi="Times New Roman"/>
                <w:sz w:val="21"/>
                <w:szCs w:val="21"/>
              </w:rPr>
              <w:t>Scheduling Algorithm</w:t>
            </w:r>
          </w:p>
        </w:tc>
        <w:tc>
          <w:tcPr>
            <w:tcW w:w="7566" w:type="dxa"/>
            <w:vAlign w:val="center"/>
          </w:tcPr>
          <w:p>
            <w:pPr>
              <w:pStyle w:val="53"/>
              <w:spacing w:before="120" w:after="120"/>
              <w:rPr>
                <w:rFonts w:ascii="Times New Roman" w:hAnsi="Times New Roman"/>
                <w:sz w:val="21"/>
                <w:szCs w:val="21"/>
              </w:rPr>
            </w:pPr>
            <w:r>
              <w:rPr>
                <w:rFonts w:ascii="Times New Roman" w:hAnsi="Times New Roman"/>
                <w:sz w:val="21"/>
                <w:szCs w:val="21"/>
              </w:rPr>
              <w:t>SU-MIMO + PF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pStyle w:val="53"/>
              <w:spacing w:before="120" w:after="120"/>
              <w:rPr>
                <w:rFonts w:ascii="Times New Roman" w:hAnsi="Times New Roman"/>
                <w:sz w:val="21"/>
                <w:szCs w:val="21"/>
              </w:rPr>
            </w:pPr>
            <w:r>
              <w:rPr>
                <w:rFonts w:ascii="Times New Roman" w:hAnsi="Times New Roman"/>
                <w:sz w:val="21"/>
                <w:szCs w:val="21"/>
              </w:rPr>
              <w:t>HARQ/repetition</w:t>
            </w:r>
          </w:p>
        </w:tc>
        <w:tc>
          <w:tcPr>
            <w:tcW w:w="7566" w:type="dxa"/>
            <w:vAlign w:val="center"/>
          </w:tcPr>
          <w:p>
            <w:pPr>
              <w:pStyle w:val="53"/>
              <w:spacing w:before="120" w:after="120"/>
              <w:rPr>
                <w:rFonts w:ascii="Times New Roman" w:hAnsi="Times New Roman"/>
                <w:sz w:val="21"/>
                <w:szCs w:val="21"/>
              </w:rPr>
            </w:pPr>
            <w:r>
              <w:rPr>
                <w:rFonts w:ascii="Times New Roman" w:hAnsi="Times New Roman"/>
                <w:sz w:val="21"/>
                <w:szCs w:val="21"/>
              </w:rPr>
              <w:t>HARQ retransmission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pStyle w:val="53"/>
              <w:spacing w:before="120" w:after="120"/>
              <w:rPr>
                <w:rFonts w:ascii="Times New Roman" w:hAnsi="Times New Roman"/>
                <w:sz w:val="21"/>
                <w:szCs w:val="21"/>
              </w:rPr>
            </w:pPr>
            <w:r>
              <w:rPr>
                <w:rFonts w:ascii="Times New Roman" w:hAnsi="Times New Roman"/>
                <w:sz w:val="21"/>
                <w:szCs w:val="21"/>
              </w:rPr>
              <w:t>Channel estimation</w:t>
            </w:r>
          </w:p>
        </w:tc>
        <w:tc>
          <w:tcPr>
            <w:tcW w:w="7566" w:type="dxa"/>
            <w:vAlign w:val="center"/>
          </w:tcPr>
          <w:p>
            <w:pPr>
              <w:pStyle w:val="53"/>
              <w:spacing w:before="120" w:after="120"/>
              <w:rPr>
                <w:rFonts w:ascii="Times New Roman" w:hAnsi="Times New Roman"/>
                <w:sz w:val="21"/>
                <w:szCs w:val="21"/>
              </w:rPr>
            </w:pPr>
            <w:r>
              <w:rPr>
                <w:rFonts w:ascii="Times New Roman" w:hAnsi="Times New Roman"/>
                <w:sz w:val="21"/>
                <w:szCs w:val="21"/>
              </w:rPr>
              <w:t>Realist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pStyle w:val="53"/>
              <w:spacing w:before="120" w:after="120"/>
              <w:rPr>
                <w:rFonts w:ascii="Times New Roman" w:hAnsi="Times New Roman"/>
                <w:sz w:val="21"/>
                <w:szCs w:val="21"/>
              </w:rPr>
            </w:pPr>
            <w:r>
              <w:rPr>
                <w:rFonts w:ascii="Times New Roman" w:hAnsi="Times New Roman"/>
                <w:sz w:val="21"/>
                <w:szCs w:val="21"/>
              </w:rPr>
              <w:t>PDCCH overhead</w:t>
            </w:r>
          </w:p>
        </w:tc>
        <w:tc>
          <w:tcPr>
            <w:tcW w:w="7566" w:type="dxa"/>
            <w:vAlign w:val="center"/>
          </w:tcPr>
          <w:p>
            <w:pPr>
              <w:pStyle w:val="53"/>
              <w:spacing w:before="120" w:after="120"/>
              <w:rPr>
                <w:rFonts w:ascii="Times New Roman" w:hAnsi="Times New Roman"/>
                <w:sz w:val="21"/>
                <w:szCs w:val="21"/>
              </w:rPr>
            </w:pPr>
            <w:r>
              <w:rPr>
                <w:rFonts w:ascii="Times New Roman" w:hAnsi="Times New Roman"/>
                <w:sz w:val="21"/>
                <w:szCs w:val="21"/>
              </w:rPr>
              <w:t>1/7 (2symbols per 14symbol)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pStyle w:val="53"/>
              <w:spacing w:before="120" w:after="120"/>
              <w:rPr>
                <w:rFonts w:ascii="Times New Roman" w:hAnsi="Times New Roman"/>
                <w:sz w:val="21"/>
                <w:szCs w:val="21"/>
              </w:rPr>
            </w:pPr>
            <w:r>
              <w:rPr>
                <w:rFonts w:ascii="Times New Roman" w:hAnsi="Times New Roman"/>
                <w:sz w:val="21"/>
                <w:szCs w:val="21"/>
              </w:rPr>
              <w:t>DMRS overhead</w:t>
            </w:r>
          </w:p>
        </w:tc>
        <w:tc>
          <w:tcPr>
            <w:tcW w:w="7566" w:type="dxa"/>
            <w:vAlign w:val="center"/>
          </w:tcPr>
          <w:p>
            <w:pPr>
              <w:pStyle w:val="53"/>
              <w:spacing w:before="120" w:after="120"/>
              <w:rPr>
                <w:rFonts w:ascii="Times New Roman" w:hAnsi="Times New Roman"/>
                <w:sz w:val="21"/>
                <w:szCs w:val="21"/>
              </w:rPr>
            </w:pPr>
            <w:r>
              <w:rPr>
                <w:rFonts w:ascii="Times New Roman" w:hAnsi="Times New Roman"/>
                <w:sz w:val="21"/>
                <w:szCs w:val="21"/>
              </w:rPr>
              <w:t>1 symbol per 14symbol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pStyle w:val="53"/>
              <w:spacing w:before="120" w:after="120"/>
              <w:rPr>
                <w:rFonts w:ascii="Times New Roman" w:hAnsi="Times New Roman"/>
                <w:sz w:val="21"/>
                <w:szCs w:val="21"/>
              </w:rPr>
            </w:pPr>
            <w:r>
              <w:rPr>
                <w:rFonts w:ascii="Times New Roman" w:hAnsi="Times New Roman"/>
                <w:sz w:val="21"/>
                <w:szCs w:val="21"/>
              </w:rPr>
              <w:t>BS receiver</w:t>
            </w:r>
          </w:p>
        </w:tc>
        <w:tc>
          <w:tcPr>
            <w:tcW w:w="7566" w:type="dxa"/>
            <w:vAlign w:val="center"/>
          </w:tcPr>
          <w:p>
            <w:pPr>
              <w:pStyle w:val="53"/>
              <w:spacing w:before="120" w:after="120"/>
              <w:rPr>
                <w:rFonts w:ascii="Times New Roman" w:hAnsi="Times New Roman"/>
                <w:sz w:val="21"/>
                <w:szCs w:val="21"/>
              </w:rPr>
            </w:pPr>
            <w:r>
              <w:rPr>
                <w:rFonts w:ascii="Times New Roman" w:hAnsi="Times New Roman"/>
                <w:sz w:val="21"/>
                <w:szCs w:val="21"/>
              </w:rPr>
              <w:t>MMSE-IRC</w:t>
            </w:r>
          </w:p>
        </w:tc>
      </w:tr>
    </w:tbl>
    <w:p>
      <w:pPr>
        <w:pStyle w:val="36"/>
        <w:numPr>
          <w:ilvl w:val="0"/>
          <w:numId w:val="0"/>
        </w:numPr>
        <w:spacing w:before="120" w:after="120"/>
        <w:rPr>
          <w:szCs w:val="21"/>
        </w:rPr>
      </w:pPr>
    </w:p>
    <w:p>
      <w:pPr>
        <w:pStyle w:val="36"/>
        <w:numPr>
          <w:ilvl w:val="0"/>
          <w:numId w:val="0"/>
        </w:numPr>
        <w:spacing w:before="120" w:after="120"/>
        <w:rPr>
          <w:szCs w:val="21"/>
        </w:rPr>
      </w:pPr>
    </w:p>
    <w:p>
      <w:pPr>
        <w:pStyle w:val="36"/>
        <w:numPr>
          <w:ilvl w:val="0"/>
          <w:numId w:val="0"/>
        </w:numPr>
        <w:spacing w:before="120" w:after="120"/>
        <w:rPr>
          <w:szCs w:val="21"/>
        </w:rPr>
      </w:pPr>
    </w:p>
    <w:p>
      <w:pPr>
        <w:pStyle w:val="36"/>
        <w:numPr>
          <w:ilvl w:val="0"/>
          <w:numId w:val="0"/>
        </w:numPr>
        <w:spacing w:before="120" w:after="120"/>
        <w:outlineLvl w:val="1"/>
        <w:rPr>
          <w:szCs w:val="21"/>
        </w:rPr>
      </w:pPr>
      <w:r>
        <w:rPr>
          <w:rFonts w:hint="eastAsia"/>
          <w:szCs w:val="21"/>
        </w:rPr>
        <w:t>A.2 Simulation results</w:t>
      </w:r>
    </w:p>
    <w:tbl>
      <w:tblPr>
        <w:tblStyle w:val="1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38"/>
        <w:gridCol w:w="493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4938" w:type="dxa"/>
            <w:vAlign w:val="center"/>
          </w:tcPr>
          <w:p>
            <w:pPr>
              <w:pStyle w:val="16"/>
              <w:spacing w:before="120" w:after="120"/>
              <w:jc w:val="center"/>
              <w:rPr>
                <w:kern w:val="2"/>
                <w:sz w:val="18"/>
                <w:szCs w:val="16"/>
              </w:rPr>
            </w:pPr>
            <w:r>
              <w:drawing>
                <wp:inline distT="0" distB="0" distL="114300" distR="114300">
                  <wp:extent cx="2882265" cy="2160270"/>
                  <wp:effectExtent l="0" t="0" r="0" b="0"/>
                  <wp:docPr id="50"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4"/>
                          <pic:cNvPicPr>
                            <a:picLocks noChangeAspect="1"/>
                          </pic:cNvPicPr>
                        </pic:nvPicPr>
                        <pic:blipFill>
                          <a:blip r:embed="rId91"/>
                          <a:stretch>
                            <a:fillRect/>
                          </a:stretch>
                        </pic:blipFill>
                        <pic:spPr>
                          <a:xfrm>
                            <a:off x="0" y="0"/>
                            <a:ext cx="2882265" cy="2160270"/>
                          </a:xfrm>
                          <a:prstGeom prst="rect">
                            <a:avLst/>
                          </a:prstGeom>
                          <a:noFill/>
                          <a:ln>
                            <a:noFill/>
                          </a:ln>
                        </pic:spPr>
                      </pic:pic>
                    </a:graphicData>
                  </a:graphic>
                </wp:inline>
              </w:drawing>
            </w:r>
          </w:p>
        </w:tc>
        <w:tc>
          <w:tcPr>
            <w:tcW w:w="4938" w:type="dxa"/>
            <w:vAlign w:val="center"/>
          </w:tcPr>
          <w:p>
            <w:pPr>
              <w:spacing w:before="120" w:after="120"/>
              <w:jc w:val="center"/>
              <w:rPr>
                <w:sz w:val="18"/>
                <w:szCs w:val="16"/>
              </w:rPr>
            </w:pPr>
            <w:r>
              <w:drawing>
                <wp:inline distT="0" distB="0" distL="114300" distR="114300">
                  <wp:extent cx="2882265" cy="2160270"/>
                  <wp:effectExtent l="0" t="0" r="0" b="0"/>
                  <wp:docPr id="51"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5"/>
                          <pic:cNvPicPr>
                            <a:picLocks noChangeAspect="1"/>
                          </pic:cNvPicPr>
                        </pic:nvPicPr>
                        <pic:blipFill>
                          <a:blip r:embed="rId92"/>
                          <a:stretch>
                            <a:fillRect/>
                          </a:stretch>
                        </pic:blipFill>
                        <pic:spPr>
                          <a:xfrm>
                            <a:off x="0" y="0"/>
                            <a:ext cx="2882265" cy="2160270"/>
                          </a:xfrm>
                          <a:prstGeom prst="rect">
                            <a:avLst/>
                          </a:prstGeom>
                          <a:noFill/>
                          <a:ln>
                            <a:noFill/>
                          </a:ln>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38" w:type="dxa"/>
            <w:vAlign w:val="center"/>
          </w:tcPr>
          <w:p>
            <w:pPr>
              <w:pStyle w:val="16"/>
              <w:spacing w:before="120" w:after="120"/>
              <w:jc w:val="center"/>
              <w:rPr>
                <w:kern w:val="2"/>
              </w:rPr>
            </w:pPr>
            <w:r>
              <w:rPr>
                <w:rFonts w:hint="eastAsia"/>
                <w:kern w:val="2"/>
                <w:sz w:val="18"/>
                <w:szCs w:val="16"/>
              </w:rPr>
              <w:t>(a) Rank = 1</w:t>
            </w:r>
          </w:p>
        </w:tc>
        <w:tc>
          <w:tcPr>
            <w:tcW w:w="4938" w:type="dxa"/>
            <w:vAlign w:val="center"/>
          </w:tcPr>
          <w:p>
            <w:pPr>
              <w:spacing w:before="120" w:after="120"/>
              <w:jc w:val="center"/>
            </w:pPr>
            <w:r>
              <w:rPr>
                <w:rFonts w:hint="eastAsia"/>
                <w:sz w:val="18"/>
                <w:szCs w:val="16"/>
              </w:rPr>
              <w:t>(b)Rank = 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38" w:type="dxa"/>
            <w:vAlign w:val="center"/>
          </w:tcPr>
          <w:p>
            <w:pPr>
              <w:pStyle w:val="16"/>
              <w:spacing w:before="120" w:after="120"/>
              <w:jc w:val="center"/>
              <w:rPr>
                <w:kern w:val="2"/>
                <w:sz w:val="18"/>
                <w:szCs w:val="16"/>
              </w:rPr>
            </w:pPr>
            <w:r>
              <w:drawing>
                <wp:inline distT="0" distB="0" distL="114300" distR="114300">
                  <wp:extent cx="2882265" cy="2160270"/>
                  <wp:effectExtent l="0" t="0" r="0" b="0"/>
                  <wp:docPr id="54"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6"/>
                          <pic:cNvPicPr>
                            <a:picLocks noChangeAspect="1"/>
                          </pic:cNvPicPr>
                        </pic:nvPicPr>
                        <pic:blipFill>
                          <a:blip r:embed="rId93"/>
                          <a:stretch>
                            <a:fillRect/>
                          </a:stretch>
                        </pic:blipFill>
                        <pic:spPr>
                          <a:xfrm>
                            <a:off x="0" y="0"/>
                            <a:ext cx="2882265" cy="2160270"/>
                          </a:xfrm>
                          <a:prstGeom prst="rect">
                            <a:avLst/>
                          </a:prstGeom>
                          <a:noFill/>
                          <a:ln>
                            <a:noFill/>
                          </a:ln>
                        </pic:spPr>
                      </pic:pic>
                    </a:graphicData>
                  </a:graphic>
                </wp:inline>
              </w:drawing>
            </w:r>
          </w:p>
        </w:tc>
        <w:tc>
          <w:tcPr>
            <w:tcW w:w="4938" w:type="dxa"/>
            <w:vAlign w:val="center"/>
          </w:tcPr>
          <w:p>
            <w:pPr>
              <w:spacing w:before="120" w:after="120"/>
              <w:jc w:val="center"/>
              <w:rPr>
                <w:sz w:val="18"/>
                <w:szCs w:val="16"/>
              </w:rPr>
            </w:pPr>
            <w:r>
              <w:drawing>
                <wp:inline distT="0" distB="0" distL="114300" distR="114300">
                  <wp:extent cx="2809875" cy="2160270"/>
                  <wp:effectExtent l="0" t="0" r="0" b="0"/>
                  <wp:docPr id="56"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8"/>
                          <pic:cNvPicPr>
                            <a:picLocks noChangeAspect="1"/>
                          </pic:cNvPicPr>
                        </pic:nvPicPr>
                        <pic:blipFill>
                          <a:blip r:embed="rId94"/>
                          <a:stretch>
                            <a:fillRect/>
                          </a:stretch>
                        </pic:blipFill>
                        <pic:spPr>
                          <a:xfrm>
                            <a:off x="0" y="0"/>
                            <a:ext cx="2809875" cy="2160270"/>
                          </a:xfrm>
                          <a:prstGeom prst="rect">
                            <a:avLst/>
                          </a:prstGeom>
                          <a:noFill/>
                          <a:ln>
                            <a:noFill/>
                          </a:ln>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4938" w:type="dxa"/>
            <w:vAlign w:val="center"/>
          </w:tcPr>
          <w:p>
            <w:pPr>
              <w:pStyle w:val="16"/>
              <w:spacing w:before="120" w:after="120"/>
              <w:jc w:val="center"/>
              <w:rPr>
                <w:kern w:val="2"/>
              </w:rPr>
            </w:pPr>
            <w:r>
              <w:rPr>
                <w:rFonts w:hint="eastAsia"/>
                <w:kern w:val="2"/>
                <w:sz w:val="18"/>
                <w:szCs w:val="16"/>
              </w:rPr>
              <w:t>(c)Rank = 3</w:t>
            </w:r>
          </w:p>
        </w:tc>
        <w:tc>
          <w:tcPr>
            <w:tcW w:w="4938" w:type="dxa"/>
            <w:vAlign w:val="center"/>
          </w:tcPr>
          <w:p>
            <w:pPr>
              <w:spacing w:before="120" w:after="120"/>
              <w:jc w:val="center"/>
            </w:pPr>
            <w:r>
              <w:rPr>
                <w:rFonts w:hint="eastAsia"/>
                <w:sz w:val="18"/>
                <w:szCs w:val="16"/>
              </w:rPr>
              <w:t>(d)Rank = 4</w:t>
            </w:r>
          </w:p>
        </w:tc>
      </w:tr>
    </w:tbl>
    <w:p>
      <w:pPr>
        <w:spacing w:before="120" w:after="120"/>
        <w:jc w:val="center"/>
      </w:pPr>
      <w:r>
        <w:rPr>
          <w:rFonts w:hint="eastAsia"/>
          <w:sz w:val="18"/>
          <w:szCs w:val="16"/>
        </w:rPr>
        <w:t xml:space="preserve">Figure A1 Average throughput of using Pa and using Pb (Pa is precoding matrix derived from a precoding matrix of 32 ports and Pb is a real precoding matrix with 16 ports.) </w:t>
      </w:r>
      <w:r>
        <w:rPr>
          <w:rFonts w:hint="eastAsia"/>
          <w:sz w:val="18"/>
          <w:szCs w:val="18"/>
        </w:rPr>
        <w:t>W</w:t>
      </w:r>
      <w:r>
        <w:rPr>
          <w:rFonts w:hint="eastAsia"/>
          <w:sz w:val="18"/>
          <w:szCs w:val="18"/>
          <w:vertAlign w:val="subscript"/>
        </w:rPr>
        <w:t>16</w:t>
      </w:r>
      <w:r>
        <w:rPr>
          <w:rFonts w:hint="eastAsia"/>
          <w:sz w:val="18"/>
          <w:szCs w:val="18"/>
        </w:rPr>
        <w:t>= Fnorm(W</w:t>
      </w:r>
      <w:r>
        <w:rPr>
          <w:rFonts w:hint="eastAsia"/>
          <w:sz w:val="18"/>
          <w:szCs w:val="18"/>
          <w:vertAlign w:val="subscript"/>
        </w:rPr>
        <w:t>32</w:t>
      </w:r>
      <w:r>
        <w:rPr>
          <w:rFonts w:hint="eastAsia"/>
          <w:sz w:val="18"/>
          <w:szCs w:val="18"/>
        </w:rPr>
        <w:t>([</w:t>
      </w:r>
      <w:r>
        <w:rPr>
          <w:rFonts w:hint="eastAsia"/>
          <w:sz w:val="20"/>
          <w:szCs w:val="18"/>
        </w:rPr>
        <w:t>0:2:15 16:2:31</w:t>
      </w:r>
      <w:r>
        <w:rPr>
          <w:rFonts w:hint="eastAsia"/>
          <w:sz w:val="18"/>
          <w:szCs w:val="18"/>
        </w:rPr>
        <w:t>],:))</w:t>
      </w:r>
    </w:p>
    <w:tbl>
      <w:tblPr>
        <w:tblStyle w:val="1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38"/>
        <w:gridCol w:w="493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38" w:type="dxa"/>
            <w:vAlign w:val="center"/>
          </w:tcPr>
          <w:p>
            <w:pPr>
              <w:pStyle w:val="16"/>
              <w:spacing w:before="120" w:after="120"/>
              <w:jc w:val="center"/>
              <w:rPr>
                <w:kern w:val="2"/>
                <w:sz w:val="18"/>
                <w:szCs w:val="16"/>
              </w:rPr>
            </w:pPr>
            <w:r>
              <w:drawing>
                <wp:inline distT="0" distB="0" distL="114300" distR="114300">
                  <wp:extent cx="2955290" cy="2160270"/>
                  <wp:effectExtent l="0" t="0" r="0" b="0"/>
                  <wp:docPr id="57"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9"/>
                          <pic:cNvPicPr>
                            <a:picLocks noChangeAspect="1"/>
                          </pic:cNvPicPr>
                        </pic:nvPicPr>
                        <pic:blipFill>
                          <a:blip r:embed="rId95"/>
                          <a:stretch>
                            <a:fillRect/>
                          </a:stretch>
                        </pic:blipFill>
                        <pic:spPr>
                          <a:xfrm>
                            <a:off x="0" y="0"/>
                            <a:ext cx="2955290" cy="2160270"/>
                          </a:xfrm>
                          <a:prstGeom prst="rect">
                            <a:avLst/>
                          </a:prstGeom>
                          <a:noFill/>
                          <a:ln>
                            <a:noFill/>
                          </a:ln>
                        </pic:spPr>
                      </pic:pic>
                    </a:graphicData>
                  </a:graphic>
                </wp:inline>
              </w:drawing>
            </w:r>
          </w:p>
        </w:tc>
        <w:tc>
          <w:tcPr>
            <w:tcW w:w="4938" w:type="dxa"/>
            <w:vAlign w:val="center"/>
          </w:tcPr>
          <w:p>
            <w:pPr>
              <w:spacing w:before="120" w:after="120"/>
              <w:jc w:val="center"/>
              <w:rPr>
                <w:sz w:val="18"/>
                <w:szCs w:val="16"/>
              </w:rPr>
            </w:pPr>
            <w:r>
              <w:drawing>
                <wp:inline distT="0" distB="0" distL="114300" distR="114300">
                  <wp:extent cx="2881630" cy="2160270"/>
                  <wp:effectExtent l="0" t="0" r="0" b="0"/>
                  <wp:docPr id="58"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60"/>
                          <pic:cNvPicPr>
                            <a:picLocks noChangeAspect="1"/>
                          </pic:cNvPicPr>
                        </pic:nvPicPr>
                        <pic:blipFill>
                          <a:blip r:embed="rId96"/>
                          <a:stretch>
                            <a:fillRect/>
                          </a:stretch>
                        </pic:blipFill>
                        <pic:spPr>
                          <a:xfrm>
                            <a:off x="0" y="0"/>
                            <a:ext cx="2881630" cy="2160270"/>
                          </a:xfrm>
                          <a:prstGeom prst="rect">
                            <a:avLst/>
                          </a:prstGeom>
                          <a:noFill/>
                          <a:ln>
                            <a:noFill/>
                          </a:ln>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38" w:type="dxa"/>
            <w:vAlign w:val="center"/>
          </w:tcPr>
          <w:p>
            <w:pPr>
              <w:pStyle w:val="16"/>
              <w:spacing w:before="120" w:after="120"/>
              <w:jc w:val="center"/>
              <w:rPr>
                <w:kern w:val="2"/>
              </w:rPr>
            </w:pPr>
            <w:r>
              <w:rPr>
                <w:rFonts w:hint="eastAsia"/>
                <w:kern w:val="2"/>
                <w:sz w:val="18"/>
                <w:szCs w:val="16"/>
              </w:rPr>
              <w:t>(a)Rank = 1</w:t>
            </w:r>
          </w:p>
        </w:tc>
        <w:tc>
          <w:tcPr>
            <w:tcW w:w="4938" w:type="dxa"/>
            <w:vAlign w:val="center"/>
          </w:tcPr>
          <w:p>
            <w:pPr>
              <w:spacing w:before="120" w:after="120"/>
              <w:jc w:val="center"/>
            </w:pPr>
            <w:r>
              <w:rPr>
                <w:rFonts w:hint="eastAsia"/>
                <w:sz w:val="18"/>
                <w:szCs w:val="16"/>
              </w:rPr>
              <w:t>(b)Rank = 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38" w:type="dxa"/>
            <w:vAlign w:val="center"/>
          </w:tcPr>
          <w:p>
            <w:pPr>
              <w:pStyle w:val="16"/>
              <w:spacing w:before="120" w:after="120"/>
              <w:jc w:val="center"/>
              <w:rPr>
                <w:kern w:val="2"/>
                <w:sz w:val="18"/>
                <w:szCs w:val="16"/>
              </w:rPr>
            </w:pPr>
            <w:r>
              <w:drawing>
                <wp:inline distT="0" distB="0" distL="114300" distR="114300">
                  <wp:extent cx="2881630" cy="2160270"/>
                  <wp:effectExtent l="0" t="0" r="0" b="0"/>
                  <wp:docPr id="59"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61"/>
                          <pic:cNvPicPr>
                            <a:picLocks noChangeAspect="1"/>
                          </pic:cNvPicPr>
                        </pic:nvPicPr>
                        <pic:blipFill>
                          <a:blip r:embed="rId97"/>
                          <a:stretch>
                            <a:fillRect/>
                          </a:stretch>
                        </pic:blipFill>
                        <pic:spPr>
                          <a:xfrm>
                            <a:off x="0" y="0"/>
                            <a:ext cx="2881630" cy="2160270"/>
                          </a:xfrm>
                          <a:prstGeom prst="rect">
                            <a:avLst/>
                          </a:prstGeom>
                          <a:noFill/>
                          <a:ln>
                            <a:noFill/>
                          </a:ln>
                        </pic:spPr>
                      </pic:pic>
                    </a:graphicData>
                  </a:graphic>
                </wp:inline>
              </w:drawing>
            </w:r>
          </w:p>
        </w:tc>
        <w:tc>
          <w:tcPr>
            <w:tcW w:w="4938" w:type="dxa"/>
            <w:vAlign w:val="center"/>
          </w:tcPr>
          <w:p>
            <w:pPr>
              <w:spacing w:before="120" w:after="120"/>
              <w:jc w:val="center"/>
              <w:rPr>
                <w:sz w:val="18"/>
                <w:szCs w:val="16"/>
              </w:rPr>
            </w:pPr>
            <w:r>
              <w:drawing>
                <wp:inline distT="0" distB="0" distL="114300" distR="114300">
                  <wp:extent cx="2955290" cy="2160270"/>
                  <wp:effectExtent l="0" t="0" r="0" b="0"/>
                  <wp:docPr id="60"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2"/>
                          <pic:cNvPicPr>
                            <a:picLocks noChangeAspect="1"/>
                          </pic:cNvPicPr>
                        </pic:nvPicPr>
                        <pic:blipFill>
                          <a:blip r:embed="rId98"/>
                          <a:stretch>
                            <a:fillRect/>
                          </a:stretch>
                        </pic:blipFill>
                        <pic:spPr>
                          <a:xfrm>
                            <a:off x="0" y="0"/>
                            <a:ext cx="2955290" cy="2160270"/>
                          </a:xfrm>
                          <a:prstGeom prst="rect">
                            <a:avLst/>
                          </a:prstGeom>
                          <a:noFill/>
                          <a:ln>
                            <a:noFill/>
                          </a:ln>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38" w:type="dxa"/>
            <w:vAlign w:val="center"/>
          </w:tcPr>
          <w:p>
            <w:pPr>
              <w:pStyle w:val="16"/>
              <w:spacing w:before="120" w:after="120"/>
              <w:jc w:val="center"/>
              <w:rPr>
                <w:kern w:val="2"/>
              </w:rPr>
            </w:pPr>
            <w:r>
              <w:rPr>
                <w:rFonts w:hint="eastAsia"/>
                <w:kern w:val="2"/>
                <w:sz w:val="18"/>
                <w:szCs w:val="16"/>
              </w:rPr>
              <w:t>(c)Rank = 3</w:t>
            </w:r>
          </w:p>
        </w:tc>
        <w:tc>
          <w:tcPr>
            <w:tcW w:w="4938" w:type="dxa"/>
            <w:vAlign w:val="center"/>
          </w:tcPr>
          <w:p>
            <w:pPr>
              <w:spacing w:before="120" w:after="120"/>
              <w:jc w:val="center"/>
            </w:pPr>
            <w:r>
              <w:rPr>
                <w:rFonts w:hint="eastAsia"/>
                <w:sz w:val="18"/>
                <w:szCs w:val="16"/>
              </w:rPr>
              <w:t>(d)Rank = 4</w:t>
            </w:r>
          </w:p>
        </w:tc>
      </w:tr>
    </w:tbl>
    <w:p>
      <w:pPr>
        <w:pStyle w:val="36"/>
        <w:numPr>
          <w:ilvl w:val="0"/>
          <w:numId w:val="0"/>
        </w:numPr>
        <w:spacing w:before="120" w:after="120"/>
        <w:rPr>
          <w:sz w:val="18"/>
          <w:szCs w:val="18"/>
        </w:rPr>
      </w:pPr>
      <w:r>
        <w:rPr>
          <w:rFonts w:hint="eastAsia"/>
          <w:sz w:val="18"/>
        </w:rPr>
        <w:t>Figure A2 Average throughput of using Pa and using Pb (Pa is precoding matrix derived from a precoding matrix of 32 ports and Pb is a real precoding matrix with 24 ports.)</w:t>
      </w:r>
      <w:r>
        <w:rPr>
          <w:rFonts w:hint="eastAsia"/>
          <w:sz w:val="18"/>
          <w:szCs w:val="18"/>
        </w:rPr>
        <w:t>, W</w:t>
      </w:r>
      <w:r>
        <w:rPr>
          <w:rFonts w:hint="eastAsia"/>
          <w:sz w:val="18"/>
          <w:szCs w:val="18"/>
          <w:vertAlign w:val="subscript"/>
        </w:rPr>
        <w:t>24</w:t>
      </w:r>
      <w:r>
        <w:rPr>
          <w:rFonts w:hint="eastAsia"/>
          <w:sz w:val="18"/>
          <w:szCs w:val="18"/>
        </w:rPr>
        <w:t>= Fnorm(W</w:t>
      </w:r>
      <w:r>
        <w:rPr>
          <w:rFonts w:hint="eastAsia"/>
          <w:sz w:val="18"/>
          <w:szCs w:val="18"/>
          <w:vertAlign w:val="subscript"/>
        </w:rPr>
        <w:t>32</w:t>
      </w:r>
      <w:r>
        <w:rPr>
          <w:rFonts w:hint="eastAsia"/>
          <w:sz w:val="18"/>
          <w:szCs w:val="18"/>
        </w:rPr>
        <w:t>([2:13 18:29],:))</w:t>
      </w:r>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Consolas">
    <w:panose1 w:val="020B0609020204030204"/>
    <w:charset w:val="00"/>
    <w:family w:val="modern"/>
    <w:pitch w:val="default"/>
    <w:sig w:usb0="E00006FF" w:usb1="0000FCFF" w:usb2="00000001" w:usb3="00000000" w:csb0="6000019F" w:csb1="DFD70000"/>
  </w:font>
  <w:font w:name="Times New Roman Bold">
    <w:altName w:val="Times New Roman"/>
    <w:panose1 w:val="02020803070505020304"/>
    <w:charset w:val="00"/>
    <w:family w:val="roma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spacing w:before="120" w:after="120"/>
                          </w:pPr>
                          <w:r>
                            <w:rPr>
                              <w:rFonts w:hint="eastAsia"/>
                            </w:rPr>
                            <w:fldChar w:fldCharType="begin"/>
                          </w:r>
                          <w:r>
                            <w:rPr>
                              <w:rFonts w:hint="eastAsia"/>
                            </w:rPr>
                            <w:instrText xml:space="preserve"> PAGE  \* MERGEFORMAT </w:instrText>
                          </w:r>
                          <w:r>
                            <w:rPr>
                              <w:rFonts w:hint="eastAsia"/>
                            </w:rPr>
                            <w:fldChar w:fldCharType="separate"/>
                          </w:r>
                          <w:r>
                            <w:t>23</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11"/>
                      <w:spacing w:before="120" w:after="120"/>
                    </w:pPr>
                    <w:r>
                      <w:rPr>
                        <w:rFonts w:hint="eastAsia"/>
                      </w:rPr>
                      <w:fldChar w:fldCharType="begin"/>
                    </w:r>
                    <w:r>
                      <w:rPr>
                        <w:rFonts w:hint="eastAsia"/>
                      </w:rPr>
                      <w:instrText xml:space="preserve"> PAGE  \* MERGEFORMAT </w:instrText>
                    </w:r>
                    <w:r>
                      <w:rPr>
                        <w:rFonts w:hint="eastAsia"/>
                      </w:rPr>
                      <w:fldChar w:fldCharType="separate"/>
                    </w:r>
                    <w:r>
                      <w:t>23</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AF8C1B8"/>
    <w:multiLevelType w:val="singleLevel"/>
    <w:tmpl w:val="9AF8C1B8"/>
    <w:lvl w:ilvl="0" w:tentative="0">
      <w:start w:val="1"/>
      <w:numFmt w:val="bullet"/>
      <w:lvlText w:val=""/>
      <w:lvlJc w:val="left"/>
      <w:pPr>
        <w:ind w:left="420" w:hanging="420"/>
      </w:pPr>
      <w:rPr>
        <w:rFonts w:hint="default" w:ascii="Wingdings" w:hAnsi="Wingdings"/>
        <w:sz w:val="10"/>
      </w:rPr>
    </w:lvl>
  </w:abstractNum>
  <w:abstractNum w:abstractNumId="1">
    <w:nsid w:val="B15F0BA4"/>
    <w:multiLevelType w:val="singleLevel"/>
    <w:tmpl w:val="B15F0BA4"/>
    <w:lvl w:ilvl="0" w:tentative="0">
      <w:start w:val="1"/>
      <w:numFmt w:val="bullet"/>
      <w:pStyle w:val="34"/>
      <w:lvlText w:val="-"/>
      <w:lvlJc w:val="left"/>
      <w:pPr>
        <w:ind w:left="420" w:hanging="420"/>
      </w:pPr>
      <w:rPr>
        <w:rFonts w:hint="default" w:ascii="Arial" w:hAnsi="Arial" w:cs="Arial"/>
      </w:rPr>
    </w:lvl>
  </w:abstractNum>
  <w:abstractNum w:abstractNumId="2">
    <w:nsid w:val="BD0CA652"/>
    <w:multiLevelType w:val="multilevel"/>
    <w:tmpl w:val="BD0CA652"/>
    <w:lvl w:ilvl="0" w:tentative="0">
      <w:start w:val="1"/>
      <w:numFmt w:val="decimal"/>
      <w:pStyle w:val="31"/>
      <w:lvlText w:val="Proposal %1:"/>
      <w:lvlJc w:val="left"/>
      <w:pPr>
        <w:tabs>
          <w:tab w:val="left" w:pos="1417"/>
        </w:tabs>
        <w:ind w:left="1417" w:firstLine="0"/>
      </w:pPr>
      <w:rPr>
        <w:rFonts w:hint="default" w:ascii="Times New Roman" w:hAnsi="Times New Roman" w:eastAsia="宋体" w:cs="Times New Roman"/>
        <w:b/>
        <w:bCs/>
        <w:i w:val="0"/>
        <w:iCs w:val="0"/>
        <w:sz w:val="21"/>
        <w:szCs w:val="21"/>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3">
    <w:nsid w:val="0A3772BC"/>
    <w:multiLevelType w:val="multilevel"/>
    <w:tmpl w:val="0A3772BC"/>
    <w:lvl w:ilvl="0" w:tentative="0">
      <w:start w:val="1"/>
      <w:numFmt w:val="decimal"/>
      <w:pStyle w:val="30"/>
      <w:suff w:val="nothing"/>
      <w:lvlText w:val="Observation %1: "/>
      <w:lvlJc w:val="left"/>
      <w:pPr>
        <w:tabs>
          <w:tab w:val="left" w:pos="420"/>
        </w:tabs>
        <w:ind w:left="0" w:firstLine="0"/>
      </w:pPr>
      <w:rPr>
        <w:rFonts w:hint="default" w:ascii="Times New Roman" w:hAnsi="Times New Roman" w:eastAsia="宋体" w:cs="Times New Roman"/>
        <w:b/>
        <w:bCs/>
        <w:i w:val="0"/>
        <w:iCs w:val="0"/>
        <w:sz w:val="21"/>
        <w:szCs w:val="21"/>
      </w:rPr>
    </w:lvl>
    <w:lvl w:ilvl="1" w:tentative="0">
      <w:start w:val="1"/>
      <w:numFmt w:val="lowerLetter"/>
      <w:lvlText w:val="%2)"/>
      <w:lvlJc w:val="left"/>
      <w:pPr>
        <w:tabs>
          <w:tab w:val="left" w:pos="840"/>
        </w:tabs>
        <w:ind w:left="840" w:hanging="420"/>
      </w:pPr>
      <w:rPr>
        <w:rFonts w:hint="default"/>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4">
    <w:nsid w:val="0BDD5F2B"/>
    <w:multiLevelType w:val="multilevel"/>
    <w:tmpl w:val="0BDD5F2B"/>
    <w:lvl w:ilvl="0" w:tentative="0">
      <w:start w:val="1"/>
      <w:numFmt w:val="decimal"/>
      <w:pStyle w:val="2"/>
      <w:suff w:val="nothing"/>
      <w:lvlText w:val="%1  "/>
      <w:lvlJc w:val="left"/>
      <w:pPr>
        <w:ind w:left="4962" w:firstLine="0"/>
      </w:pPr>
      <w:rPr>
        <w:rFonts w:hint="default" w:ascii="Times New Roman" w:hAnsi="Times New Roman" w:eastAsia="黑体" w:cs="Times New Roman"/>
        <w:b/>
        <w:bCs/>
        <w:i w:val="0"/>
        <w:sz w:val="28"/>
        <w:szCs w:val="28"/>
        <w:lang w:val="en-US"/>
      </w:rPr>
    </w:lvl>
    <w:lvl w:ilvl="1" w:tentative="0">
      <w:start w:val="1"/>
      <w:numFmt w:val="decimal"/>
      <w:pStyle w:val="3"/>
      <w:suff w:val="nothing"/>
      <w:lvlText w:val="%1.%2  "/>
      <w:lvlJc w:val="left"/>
      <w:pPr>
        <w:ind w:left="993" w:firstLine="0"/>
      </w:pPr>
      <w:rPr>
        <w:rFonts w:hint="default" w:ascii="Times New Roman" w:hAnsi="Times New Roman" w:cs="Times New Roman"/>
        <w:b/>
        <w:bCs/>
        <w:i w:val="0"/>
        <w:iCs w:val="0"/>
        <w:caps w:val="0"/>
        <w:smallCaps w:val="0"/>
        <w:strike w:val="0"/>
        <w:dstrike w:val="0"/>
        <w:vanish w:val="0"/>
        <w:color w:val="000000"/>
        <w:spacing w:val="0"/>
        <w:kern w:val="0"/>
        <w:position w:val="0"/>
        <w:sz w:val="20"/>
        <w:szCs w:val="2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13FD15EA"/>
    <w:multiLevelType w:val="multilevel"/>
    <w:tmpl w:val="13FD15E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1B361BDF"/>
    <w:multiLevelType w:val="multilevel"/>
    <w:tmpl w:val="1B361BD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205352B8"/>
    <w:multiLevelType w:val="multilevel"/>
    <w:tmpl w:val="205352B8"/>
    <w:lvl w:ilvl="0" w:tentative="0">
      <w:start w:val="0"/>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780" w:hanging="360"/>
      </w:pPr>
      <w:rPr>
        <w:rFonts w:hint="default" w:ascii="Symbol" w:hAnsi="Symbol"/>
      </w:rPr>
    </w:lvl>
    <w:lvl w:ilvl="2" w:tentative="0">
      <w:start w:val="1"/>
      <w:numFmt w:val="bullet"/>
      <w:lvlText w:val="o"/>
      <w:lvlJc w:val="left"/>
      <w:pPr>
        <w:ind w:left="1200" w:hanging="36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2FD83607"/>
    <w:multiLevelType w:val="multilevel"/>
    <w:tmpl w:val="2FD8360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3E767F3"/>
    <w:multiLevelType w:val="multilevel"/>
    <w:tmpl w:val="33E767F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3A877D64"/>
    <w:multiLevelType w:val="singleLevel"/>
    <w:tmpl w:val="3A877D64"/>
    <w:lvl w:ilvl="0" w:tentative="0">
      <w:start w:val="1"/>
      <w:numFmt w:val="decimal"/>
      <w:pStyle w:val="36"/>
      <w:lvlText w:val="[%1]"/>
      <w:lvlJc w:val="left"/>
      <w:pPr>
        <w:tabs>
          <w:tab w:val="left" w:pos="360"/>
        </w:tabs>
        <w:ind w:left="360" w:hanging="360"/>
      </w:pPr>
    </w:lvl>
  </w:abstractNum>
  <w:abstractNum w:abstractNumId="11">
    <w:nsid w:val="508BE803"/>
    <w:multiLevelType w:val="singleLevel"/>
    <w:tmpl w:val="508BE803"/>
    <w:lvl w:ilvl="0" w:tentative="0">
      <w:start w:val="1"/>
      <w:numFmt w:val="bullet"/>
      <w:pStyle w:val="35"/>
      <w:lvlText w:val="-"/>
      <w:lvlJc w:val="left"/>
      <w:pPr>
        <w:ind w:left="420" w:hanging="420"/>
      </w:pPr>
      <w:rPr>
        <w:rFonts w:hint="default" w:ascii="Arial" w:hAnsi="Arial" w:cs="Arial"/>
      </w:rPr>
    </w:lvl>
  </w:abstractNum>
  <w:abstractNum w:abstractNumId="12">
    <w:nsid w:val="594751F7"/>
    <w:multiLevelType w:val="multilevel"/>
    <w:tmpl w:val="594751F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6218C731"/>
    <w:multiLevelType w:val="multilevel"/>
    <w:tmpl w:val="6218C731"/>
    <w:lvl w:ilvl="0" w:tentative="0">
      <w:start w:val="1"/>
      <w:numFmt w:val="decimal"/>
      <w:lvlText w:val="%1."/>
      <w:lvlJc w:val="left"/>
      <w:pPr>
        <w:ind w:left="425" w:hanging="425"/>
      </w:pPr>
      <w:rPr>
        <w:rFonts w:hint="default" w:ascii="Times New Roman" w:hAnsi="Times New Roman" w:cs="Times New Roman"/>
        <w:b/>
        <w:bCs/>
      </w:rPr>
    </w:lvl>
    <w:lvl w:ilvl="1" w:tentative="0">
      <w:start w:val="1"/>
      <w:numFmt w:val="decimal"/>
      <w:lvlText w:val="%1.%2."/>
      <w:lvlJc w:val="left"/>
      <w:pPr>
        <w:ind w:left="567" w:hanging="567"/>
      </w:pPr>
      <w:rPr>
        <w:rFonts w:hint="default" w:ascii="Times New Roman" w:hAnsi="Times New Roman" w:cs="Times New Roman"/>
        <w:b/>
        <w:bCs/>
        <w:sz w:val="21"/>
        <w:szCs w:val="21"/>
      </w:rPr>
    </w:lvl>
    <w:lvl w:ilvl="2" w:tentative="0">
      <w:start w:val="1"/>
      <w:numFmt w:val="decimal"/>
      <w:lvlText w:val="%1.%2.%3."/>
      <w:lvlJc w:val="left"/>
      <w:pPr>
        <w:ind w:left="709" w:hanging="709"/>
      </w:pPr>
      <w:rPr>
        <w:rFonts w:hint="default" w:ascii="Times New Roman" w:hAnsi="Times New Roman" w:cs="Times New Roman"/>
        <w:b/>
        <w:bCs/>
        <w:sz w:val="21"/>
        <w:szCs w:val="21"/>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4">
    <w:nsid w:val="6B65CF54"/>
    <w:multiLevelType w:val="singleLevel"/>
    <w:tmpl w:val="6B65CF54"/>
    <w:lvl w:ilvl="0" w:tentative="0">
      <w:start w:val="1"/>
      <w:numFmt w:val="decimal"/>
      <w:suff w:val="space"/>
      <w:lvlText w:val="%1)"/>
      <w:lvlJc w:val="left"/>
    </w:lvl>
  </w:abstractNum>
  <w:abstractNum w:abstractNumId="15">
    <w:nsid w:val="73CC1F8B"/>
    <w:multiLevelType w:val="singleLevel"/>
    <w:tmpl w:val="73CC1F8B"/>
    <w:lvl w:ilvl="0" w:tentative="0">
      <w:start w:val="1"/>
      <w:numFmt w:val="decimal"/>
      <w:pStyle w:val="57"/>
      <w:lvlText w:val="[%1]"/>
      <w:lvlJc w:val="left"/>
      <w:pPr>
        <w:tabs>
          <w:tab w:val="left" w:pos="1296"/>
        </w:tabs>
        <w:ind w:left="0" w:firstLine="0"/>
      </w:pPr>
      <w:rPr>
        <w:rFonts w:hint="default" w:ascii="Times New Roman Bold" w:hAnsi="Times New Roman Bold" w:cs="Arial"/>
        <w:b/>
        <w:bCs w:val="0"/>
        <w:i w:val="0"/>
        <w:iCs w:val="0"/>
        <w:caps w:val="0"/>
        <w:smallCaps w:val="0"/>
        <w:strike w:val="0"/>
        <w:dstrike w:val="0"/>
        <w:vanish w:val="0"/>
        <w:color w:val="000000"/>
        <w:spacing w:val="0"/>
        <w:kern w:val="0"/>
        <w:position w:val="0"/>
        <w:sz w:val="24"/>
        <w:szCs w:val="24"/>
        <w:u w:val="none"/>
        <w:vertAlign w:val="baseline"/>
        <w14:shadow w14:blurRad="0" w14:dist="0" w14:dir="0" w14:sx="0" w14:sy="0" w14:kx="0" w14:ky="0" w14:algn="none">
          <w14:srgbClr w14:val="000000"/>
        </w14:shadow>
      </w:rPr>
    </w:lvl>
  </w:abstractNum>
  <w:abstractNum w:abstractNumId="16">
    <w:nsid w:val="7C7F6F36"/>
    <w:multiLevelType w:val="multilevel"/>
    <w:tmpl w:val="7C7F6F36"/>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Symbol" w:hAnsi="Symbol"/>
        <w:lang w:val="en-US"/>
      </w:rPr>
    </w:lvl>
    <w:lvl w:ilvl="2" w:tentative="0">
      <w:start w:val="0"/>
      <w:numFmt w:val="bullet"/>
      <w:lvlText w:val="-"/>
      <w:lvlJc w:val="left"/>
      <w:pPr>
        <w:ind w:left="1200" w:hanging="360"/>
      </w:pPr>
      <w:rPr>
        <w:rFonts w:hint="default" w:ascii="Times" w:hAnsi="Times" w:eastAsia="Batang" w:cs="Time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7">
    <w:nsid w:val="7DC436CD"/>
    <w:multiLevelType w:val="singleLevel"/>
    <w:tmpl w:val="7DC436CD"/>
    <w:lvl w:ilvl="0" w:tentative="0">
      <w:start w:val="1"/>
      <w:numFmt w:val="bullet"/>
      <w:pStyle w:val="32"/>
      <w:lvlText w:val="•"/>
      <w:lvlJc w:val="left"/>
      <w:pPr>
        <w:tabs>
          <w:tab w:val="left" w:pos="420"/>
        </w:tabs>
        <w:ind w:left="420" w:hanging="378"/>
      </w:pPr>
      <w:rPr>
        <w:rFonts w:hint="default" w:ascii="Arial" w:hAnsi="Arial" w:cs="Arial"/>
      </w:rPr>
    </w:lvl>
  </w:abstractNum>
  <w:abstractNum w:abstractNumId="18">
    <w:nsid w:val="7E8748CE"/>
    <w:multiLevelType w:val="multilevel"/>
    <w:tmpl w:val="7E8748C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4"/>
  </w:num>
  <w:num w:numId="2">
    <w:abstractNumId w:val="3"/>
  </w:num>
  <w:num w:numId="3">
    <w:abstractNumId w:val="2"/>
  </w:num>
  <w:num w:numId="4">
    <w:abstractNumId w:val="17"/>
  </w:num>
  <w:num w:numId="5">
    <w:abstractNumId w:val="1"/>
  </w:num>
  <w:num w:numId="6">
    <w:abstractNumId w:val="11"/>
  </w:num>
  <w:num w:numId="7">
    <w:abstractNumId w:val="10"/>
  </w:num>
  <w:num w:numId="8">
    <w:abstractNumId w:val="15"/>
  </w:num>
  <w:num w:numId="9">
    <w:abstractNumId w:val="13"/>
  </w:num>
  <w:num w:numId="10">
    <w:abstractNumId w:val="8"/>
  </w:num>
  <w:num w:numId="11">
    <w:abstractNumId w:val="7"/>
  </w:num>
  <w:num w:numId="12">
    <w:abstractNumId w:val="16"/>
  </w:num>
  <w:num w:numId="13">
    <w:abstractNumId w:val="6"/>
  </w:num>
  <w:num w:numId="14">
    <w:abstractNumId w:val="9"/>
  </w:num>
  <w:num w:numId="15">
    <w:abstractNumId w:val="12"/>
  </w:num>
  <w:num w:numId="16">
    <w:abstractNumId w:val="14"/>
  </w:num>
  <w:num w:numId="17">
    <w:abstractNumId w:val="0"/>
  </w:num>
  <w:num w:numId="18">
    <w:abstractNumId w:val="5"/>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59"/>
    <w:rsid w:val="00001533"/>
    <w:rsid w:val="00007BB2"/>
    <w:rsid w:val="00010389"/>
    <w:rsid w:val="00011362"/>
    <w:rsid w:val="00013157"/>
    <w:rsid w:val="000132EC"/>
    <w:rsid w:val="0001681D"/>
    <w:rsid w:val="000218E0"/>
    <w:rsid w:val="00024572"/>
    <w:rsid w:val="00033FB8"/>
    <w:rsid w:val="000358CD"/>
    <w:rsid w:val="00036ED3"/>
    <w:rsid w:val="00037CEC"/>
    <w:rsid w:val="00040460"/>
    <w:rsid w:val="00041DF7"/>
    <w:rsid w:val="00046489"/>
    <w:rsid w:val="000464A0"/>
    <w:rsid w:val="00054432"/>
    <w:rsid w:val="0006224C"/>
    <w:rsid w:val="000651DC"/>
    <w:rsid w:val="00066C13"/>
    <w:rsid w:val="00082475"/>
    <w:rsid w:val="00085F2B"/>
    <w:rsid w:val="000A1584"/>
    <w:rsid w:val="000A2884"/>
    <w:rsid w:val="000B1F21"/>
    <w:rsid w:val="000B3F71"/>
    <w:rsid w:val="000B6118"/>
    <w:rsid w:val="000B7C70"/>
    <w:rsid w:val="000C562A"/>
    <w:rsid w:val="000C60E2"/>
    <w:rsid w:val="000D24BA"/>
    <w:rsid w:val="000D2616"/>
    <w:rsid w:val="000F0D64"/>
    <w:rsid w:val="000F3584"/>
    <w:rsid w:val="00105029"/>
    <w:rsid w:val="00105C2D"/>
    <w:rsid w:val="0011053D"/>
    <w:rsid w:val="0011115B"/>
    <w:rsid w:val="00111CB8"/>
    <w:rsid w:val="00114D8A"/>
    <w:rsid w:val="00115C34"/>
    <w:rsid w:val="00116D48"/>
    <w:rsid w:val="00120A32"/>
    <w:rsid w:val="00122562"/>
    <w:rsid w:val="0012492B"/>
    <w:rsid w:val="00134AE1"/>
    <w:rsid w:val="00135C94"/>
    <w:rsid w:val="001426DD"/>
    <w:rsid w:val="00142D93"/>
    <w:rsid w:val="00144A4B"/>
    <w:rsid w:val="00151DB3"/>
    <w:rsid w:val="00156911"/>
    <w:rsid w:val="00163304"/>
    <w:rsid w:val="0016494A"/>
    <w:rsid w:val="00172A27"/>
    <w:rsid w:val="00176FEF"/>
    <w:rsid w:val="0018384C"/>
    <w:rsid w:val="00194826"/>
    <w:rsid w:val="0019493C"/>
    <w:rsid w:val="001958EE"/>
    <w:rsid w:val="001B0E9F"/>
    <w:rsid w:val="001B1E36"/>
    <w:rsid w:val="001B2954"/>
    <w:rsid w:val="001B63AC"/>
    <w:rsid w:val="001B69E6"/>
    <w:rsid w:val="001C34EA"/>
    <w:rsid w:val="001C5C7C"/>
    <w:rsid w:val="001E4EB5"/>
    <w:rsid w:val="001E5B39"/>
    <w:rsid w:val="001F2044"/>
    <w:rsid w:val="001F20E7"/>
    <w:rsid w:val="001F454E"/>
    <w:rsid w:val="001F4603"/>
    <w:rsid w:val="001F481B"/>
    <w:rsid w:val="00201FA0"/>
    <w:rsid w:val="002115B4"/>
    <w:rsid w:val="00217601"/>
    <w:rsid w:val="002203BB"/>
    <w:rsid w:val="0022317D"/>
    <w:rsid w:val="00223523"/>
    <w:rsid w:val="0022554F"/>
    <w:rsid w:val="00227542"/>
    <w:rsid w:val="00232741"/>
    <w:rsid w:val="00233407"/>
    <w:rsid w:val="00234B56"/>
    <w:rsid w:val="00236074"/>
    <w:rsid w:val="002375D2"/>
    <w:rsid w:val="00242E2D"/>
    <w:rsid w:val="00244339"/>
    <w:rsid w:val="00244DDD"/>
    <w:rsid w:val="00250BAD"/>
    <w:rsid w:val="002577D1"/>
    <w:rsid w:val="00261D15"/>
    <w:rsid w:val="00265D0A"/>
    <w:rsid w:val="00271783"/>
    <w:rsid w:val="00276BB3"/>
    <w:rsid w:val="00276E34"/>
    <w:rsid w:val="00276EAA"/>
    <w:rsid w:val="00277F98"/>
    <w:rsid w:val="0028709E"/>
    <w:rsid w:val="00290343"/>
    <w:rsid w:val="0029059B"/>
    <w:rsid w:val="002910DE"/>
    <w:rsid w:val="0029236C"/>
    <w:rsid w:val="00295BFC"/>
    <w:rsid w:val="002A182A"/>
    <w:rsid w:val="002A6CF5"/>
    <w:rsid w:val="002B113F"/>
    <w:rsid w:val="002B232B"/>
    <w:rsid w:val="002C2179"/>
    <w:rsid w:val="002C305B"/>
    <w:rsid w:val="002D28B5"/>
    <w:rsid w:val="002D5E31"/>
    <w:rsid w:val="002D785A"/>
    <w:rsid w:val="002E02FB"/>
    <w:rsid w:val="002E237D"/>
    <w:rsid w:val="002E649F"/>
    <w:rsid w:val="002E6F39"/>
    <w:rsid w:val="002E7313"/>
    <w:rsid w:val="002F18EC"/>
    <w:rsid w:val="002F1E63"/>
    <w:rsid w:val="002F3AC9"/>
    <w:rsid w:val="002F3F12"/>
    <w:rsid w:val="002F415F"/>
    <w:rsid w:val="002F41F2"/>
    <w:rsid w:val="002F62C5"/>
    <w:rsid w:val="002F705D"/>
    <w:rsid w:val="00303843"/>
    <w:rsid w:val="00303B07"/>
    <w:rsid w:val="003059FC"/>
    <w:rsid w:val="003128E4"/>
    <w:rsid w:val="0031557B"/>
    <w:rsid w:val="00320770"/>
    <w:rsid w:val="00324737"/>
    <w:rsid w:val="003308E9"/>
    <w:rsid w:val="00332E74"/>
    <w:rsid w:val="00336532"/>
    <w:rsid w:val="00336C18"/>
    <w:rsid w:val="00347EE9"/>
    <w:rsid w:val="00351902"/>
    <w:rsid w:val="00353EBF"/>
    <w:rsid w:val="003657ED"/>
    <w:rsid w:val="00370C9F"/>
    <w:rsid w:val="00371BBF"/>
    <w:rsid w:val="00377B8D"/>
    <w:rsid w:val="00381508"/>
    <w:rsid w:val="00381F4D"/>
    <w:rsid w:val="003919F3"/>
    <w:rsid w:val="0039320F"/>
    <w:rsid w:val="00394688"/>
    <w:rsid w:val="003A64B7"/>
    <w:rsid w:val="003B4BE6"/>
    <w:rsid w:val="003B734E"/>
    <w:rsid w:val="003C2FB8"/>
    <w:rsid w:val="003C6EA7"/>
    <w:rsid w:val="003D0348"/>
    <w:rsid w:val="003D10E2"/>
    <w:rsid w:val="003D20DF"/>
    <w:rsid w:val="003D4439"/>
    <w:rsid w:val="003D771B"/>
    <w:rsid w:val="003E04A7"/>
    <w:rsid w:val="003E34E8"/>
    <w:rsid w:val="003E3798"/>
    <w:rsid w:val="003E61E7"/>
    <w:rsid w:val="003F0ACA"/>
    <w:rsid w:val="003F30E6"/>
    <w:rsid w:val="003F5933"/>
    <w:rsid w:val="003F7975"/>
    <w:rsid w:val="003F7B56"/>
    <w:rsid w:val="0040221A"/>
    <w:rsid w:val="0041177A"/>
    <w:rsid w:val="00411842"/>
    <w:rsid w:val="00416528"/>
    <w:rsid w:val="00420FCF"/>
    <w:rsid w:val="00430F97"/>
    <w:rsid w:val="0043221E"/>
    <w:rsid w:val="004421C8"/>
    <w:rsid w:val="00444592"/>
    <w:rsid w:val="00452351"/>
    <w:rsid w:val="00453B58"/>
    <w:rsid w:val="004550AC"/>
    <w:rsid w:val="00456AC4"/>
    <w:rsid w:val="00460F5D"/>
    <w:rsid w:val="004627C8"/>
    <w:rsid w:val="00465F02"/>
    <w:rsid w:val="00467485"/>
    <w:rsid w:val="00467652"/>
    <w:rsid w:val="0047305A"/>
    <w:rsid w:val="00474F52"/>
    <w:rsid w:val="00475B39"/>
    <w:rsid w:val="0047730D"/>
    <w:rsid w:val="00483BD2"/>
    <w:rsid w:val="00484231"/>
    <w:rsid w:val="004902EA"/>
    <w:rsid w:val="00494479"/>
    <w:rsid w:val="004A6003"/>
    <w:rsid w:val="004B588E"/>
    <w:rsid w:val="004B61D5"/>
    <w:rsid w:val="004B65D2"/>
    <w:rsid w:val="004B6C6F"/>
    <w:rsid w:val="004B7E81"/>
    <w:rsid w:val="004C13DB"/>
    <w:rsid w:val="004C1FF3"/>
    <w:rsid w:val="004C28AD"/>
    <w:rsid w:val="004C3E2D"/>
    <w:rsid w:val="004C42D6"/>
    <w:rsid w:val="004D0496"/>
    <w:rsid w:val="004D313B"/>
    <w:rsid w:val="004D4174"/>
    <w:rsid w:val="004D58E2"/>
    <w:rsid w:val="004D7773"/>
    <w:rsid w:val="004F309B"/>
    <w:rsid w:val="005033BA"/>
    <w:rsid w:val="00507DEE"/>
    <w:rsid w:val="00511A3B"/>
    <w:rsid w:val="0051382A"/>
    <w:rsid w:val="00516392"/>
    <w:rsid w:val="00520392"/>
    <w:rsid w:val="00521EE3"/>
    <w:rsid w:val="00522E8D"/>
    <w:rsid w:val="0052535F"/>
    <w:rsid w:val="00531CAA"/>
    <w:rsid w:val="00533317"/>
    <w:rsid w:val="00535E0B"/>
    <w:rsid w:val="00546EC3"/>
    <w:rsid w:val="00555802"/>
    <w:rsid w:val="00556291"/>
    <w:rsid w:val="00556D9A"/>
    <w:rsid w:val="00560F18"/>
    <w:rsid w:val="005636B9"/>
    <w:rsid w:val="0056493A"/>
    <w:rsid w:val="005669EB"/>
    <w:rsid w:val="0057208E"/>
    <w:rsid w:val="00573CB2"/>
    <w:rsid w:val="005760A7"/>
    <w:rsid w:val="00577081"/>
    <w:rsid w:val="00577EA8"/>
    <w:rsid w:val="00583708"/>
    <w:rsid w:val="00587C04"/>
    <w:rsid w:val="00595DAA"/>
    <w:rsid w:val="00596579"/>
    <w:rsid w:val="005968AB"/>
    <w:rsid w:val="00596DC2"/>
    <w:rsid w:val="005A1122"/>
    <w:rsid w:val="005A3B4B"/>
    <w:rsid w:val="005A7057"/>
    <w:rsid w:val="005B065E"/>
    <w:rsid w:val="005B098F"/>
    <w:rsid w:val="005B351A"/>
    <w:rsid w:val="005B52DF"/>
    <w:rsid w:val="005B59D4"/>
    <w:rsid w:val="005B5DB6"/>
    <w:rsid w:val="005C7C8D"/>
    <w:rsid w:val="005D2329"/>
    <w:rsid w:val="005D6168"/>
    <w:rsid w:val="005E29F1"/>
    <w:rsid w:val="005E59C7"/>
    <w:rsid w:val="005E744B"/>
    <w:rsid w:val="005F2A45"/>
    <w:rsid w:val="005F72A5"/>
    <w:rsid w:val="005F799A"/>
    <w:rsid w:val="006137F6"/>
    <w:rsid w:val="0061386E"/>
    <w:rsid w:val="00615E53"/>
    <w:rsid w:val="006162E5"/>
    <w:rsid w:val="0063495A"/>
    <w:rsid w:val="0063503F"/>
    <w:rsid w:val="006364F5"/>
    <w:rsid w:val="006402B3"/>
    <w:rsid w:val="00641B45"/>
    <w:rsid w:val="00643BE3"/>
    <w:rsid w:val="00647FE7"/>
    <w:rsid w:val="006503B4"/>
    <w:rsid w:val="00655522"/>
    <w:rsid w:val="00655BF7"/>
    <w:rsid w:val="00662C25"/>
    <w:rsid w:val="00665A4E"/>
    <w:rsid w:val="006725F3"/>
    <w:rsid w:val="00673028"/>
    <w:rsid w:val="00673095"/>
    <w:rsid w:val="00675BC6"/>
    <w:rsid w:val="006805BC"/>
    <w:rsid w:val="006830EB"/>
    <w:rsid w:val="00683CBB"/>
    <w:rsid w:val="00684EFF"/>
    <w:rsid w:val="00685239"/>
    <w:rsid w:val="00687FA8"/>
    <w:rsid w:val="00691828"/>
    <w:rsid w:val="00693AF3"/>
    <w:rsid w:val="006940BC"/>
    <w:rsid w:val="006A17BA"/>
    <w:rsid w:val="006A1CE2"/>
    <w:rsid w:val="006A349F"/>
    <w:rsid w:val="006A41BB"/>
    <w:rsid w:val="006A5607"/>
    <w:rsid w:val="006A67D1"/>
    <w:rsid w:val="006A7A11"/>
    <w:rsid w:val="006B0A46"/>
    <w:rsid w:val="006B3B0F"/>
    <w:rsid w:val="006B78D4"/>
    <w:rsid w:val="006C3618"/>
    <w:rsid w:val="006C4C2F"/>
    <w:rsid w:val="006C6EC9"/>
    <w:rsid w:val="006D02A8"/>
    <w:rsid w:val="006D031F"/>
    <w:rsid w:val="006D097E"/>
    <w:rsid w:val="006D7080"/>
    <w:rsid w:val="006E2013"/>
    <w:rsid w:val="006E23EB"/>
    <w:rsid w:val="006E2E20"/>
    <w:rsid w:val="006E4AF9"/>
    <w:rsid w:val="006E7C0F"/>
    <w:rsid w:val="006F0C2D"/>
    <w:rsid w:val="00704C97"/>
    <w:rsid w:val="00704EAD"/>
    <w:rsid w:val="007100EE"/>
    <w:rsid w:val="00711E21"/>
    <w:rsid w:val="00714676"/>
    <w:rsid w:val="0071524D"/>
    <w:rsid w:val="00720A0B"/>
    <w:rsid w:val="00723DE8"/>
    <w:rsid w:val="00730232"/>
    <w:rsid w:val="007336DC"/>
    <w:rsid w:val="00740DE3"/>
    <w:rsid w:val="007413E9"/>
    <w:rsid w:val="00744D9E"/>
    <w:rsid w:val="00761385"/>
    <w:rsid w:val="00761A4D"/>
    <w:rsid w:val="00763C7E"/>
    <w:rsid w:val="00773ED4"/>
    <w:rsid w:val="00774239"/>
    <w:rsid w:val="00774353"/>
    <w:rsid w:val="00785E8C"/>
    <w:rsid w:val="0079317C"/>
    <w:rsid w:val="007942C6"/>
    <w:rsid w:val="007946E1"/>
    <w:rsid w:val="00794A12"/>
    <w:rsid w:val="00796361"/>
    <w:rsid w:val="007A3E76"/>
    <w:rsid w:val="007B300B"/>
    <w:rsid w:val="007B57F6"/>
    <w:rsid w:val="007C25D3"/>
    <w:rsid w:val="007C3B82"/>
    <w:rsid w:val="007C58DD"/>
    <w:rsid w:val="007C7120"/>
    <w:rsid w:val="007D167F"/>
    <w:rsid w:val="007D347E"/>
    <w:rsid w:val="007D43AD"/>
    <w:rsid w:val="007D5903"/>
    <w:rsid w:val="007D769E"/>
    <w:rsid w:val="007F0443"/>
    <w:rsid w:val="007F0F85"/>
    <w:rsid w:val="007F2425"/>
    <w:rsid w:val="0080170A"/>
    <w:rsid w:val="00803E39"/>
    <w:rsid w:val="00812886"/>
    <w:rsid w:val="00813137"/>
    <w:rsid w:val="00814940"/>
    <w:rsid w:val="00815927"/>
    <w:rsid w:val="00816480"/>
    <w:rsid w:val="00830664"/>
    <w:rsid w:val="0083224C"/>
    <w:rsid w:val="00832CC8"/>
    <w:rsid w:val="00834EE2"/>
    <w:rsid w:val="008363E1"/>
    <w:rsid w:val="0084496F"/>
    <w:rsid w:val="008456EB"/>
    <w:rsid w:val="00846A69"/>
    <w:rsid w:val="008551A2"/>
    <w:rsid w:val="008635FE"/>
    <w:rsid w:val="00863C40"/>
    <w:rsid w:val="00865064"/>
    <w:rsid w:val="00865F47"/>
    <w:rsid w:val="00870D13"/>
    <w:rsid w:val="008716A4"/>
    <w:rsid w:val="0087257F"/>
    <w:rsid w:val="00873977"/>
    <w:rsid w:val="00876E68"/>
    <w:rsid w:val="00884A9A"/>
    <w:rsid w:val="00885BC9"/>
    <w:rsid w:val="00887146"/>
    <w:rsid w:val="00890F26"/>
    <w:rsid w:val="00896063"/>
    <w:rsid w:val="00896A89"/>
    <w:rsid w:val="008A3CEE"/>
    <w:rsid w:val="008A670A"/>
    <w:rsid w:val="008A7980"/>
    <w:rsid w:val="008A7AD7"/>
    <w:rsid w:val="008B0720"/>
    <w:rsid w:val="008B127D"/>
    <w:rsid w:val="008C1DD0"/>
    <w:rsid w:val="008C2E4C"/>
    <w:rsid w:val="008C2EB7"/>
    <w:rsid w:val="008C6A31"/>
    <w:rsid w:val="008D2AF6"/>
    <w:rsid w:val="008D414D"/>
    <w:rsid w:val="008D7045"/>
    <w:rsid w:val="008E0DBA"/>
    <w:rsid w:val="008E0FCD"/>
    <w:rsid w:val="008F44B0"/>
    <w:rsid w:val="009026B1"/>
    <w:rsid w:val="00910698"/>
    <w:rsid w:val="00911656"/>
    <w:rsid w:val="00911B24"/>
    <w:rsid w:val="00917874"/>
    <w:rsid w:val="00920269"/>
    <w:rsid w:val="00921EDB"/>
    <w:rsid w:val="00924123"/>
    <w:rsid w:val="009264DB"/>
    <w:rsid w:val="00930DD6"/>
    <w:rsid w:val="0094302B"/>
    <w:rsid w:val="00943E43"/>
    <w:rsid w:val="00944AB1"/>
    <w:rsid w:val="00944BED"/>
    <w:rsid w:val="0094549A"/>
    <w:rsid w:val="00945958"/>
    <w:rsid w:val="00954A18"/>
    <w:rsid w:val="0095581D"/>
    <w:rsid w:val="0096044C"/>
    <w:rsid w:val="00960F0D"/>
    <w:rsid w:val="00963156"/>
    <w:rsid w:val="0097543C"/>
    <w:rsid w:val="00977E8F"/>
    <w:rsid w:val="00983278"/>
    <w:rsid w:val="00984B03"/>
    <w:rsid w:val="00986C7C"/>
    <w:rsid w:val="0099578C"/>
    <w:rsid w:val="009A0714"/>
    <w:rsid w:val="009A17FB"/>
    <w:rsid w:val="009A1C9A"/>
    <w:rsid w:val="009A2FCD"/>
    <w:rsid w:val="009A30A1"/>
    <w:rsid w:val="009B1C2D"/>
    <w:rsid w:val="009B334B"/>
    <w:rsid w:val="009B37ED"/>
    <w:rsid w:val="009B3F7A"/>
    <w:rsid w:val="009B4630"/>
    <w:rsid w:val="009C747F"/>
    <w:rsid w:val="009D043C"/>
    <w:rsid w:val="009D0EF4"/>
    <w:rsid w:val="009D3093"/>
    <w:rsid w:val="009D56BB"/>
    <w:rsid w:val="009D5915"/>
    <w:rsid w:val="009D5CC9"/>
    <w:rsid w:val="009E1EBF"/>
    <w:rsid w:val="009E28EC"/>
    <w:rsid w:val="009E29CF"/>
    <w:rsid w:val="009F5493"/>
    <w:rsid w:val="009F672F"/>
    <w:rsid w:val="009F6C1E"/>
    <w:rsid w:val="009F7F8C"/>
    <w:rsid w:val="00A0073A"/>
    <w:rsid w:val="00A01035"/>
    <w:rsid w:val="00A017EF"/>
    <w:rsid w:val="00A02DE2"/>
    <w:rsid w:val="00A05CED"/>
    <w:rsid w:val="00A07525"/>
    <w:rsid w:val="00A07597"/>
    <w:rsid w:val="00A21A86"/>
    <w:rsid w:val="00A237AA"/>
    <w:rsid w:val="00A24F6E"/>
    <w:rsid w:val="00A25260"/>
    <w:rsid w:val="00A2600D"/>
    <w:rsid w:val="00A27982"/>
    <w:rsid w:val="00A30EDA"/>
    <w:rsid w:val="00A315C8"/>
    <w:rsid w:val="00A32632"/>
    <w:rsid w:val="00A33622"/>
    <w:rsid w:val="00A36F47"/>
    <w:rsid w:val="00A442D0"/>
    <w:rsid w:val="00A44309"/>
    <w:rsid w:val="00A452E2"/>
    <w:rsid w:val="00A46ED4"/>
    <w:rsid w:val="00A519F5"/>
    <w:rsid w:val="00A5238A"/>
    <w:rsid w:val="00A52FDB"/>
    <w:rsid w:val="00A61407"/>
    <w:rsid w:val="00A71BD6"/>
    <w:rsid w:val="00A726CB"/>
    <w:rsid w:val="00A73834"/>
    <w:rsid w:val="00A80147"/>
    <w:rsid w:val="00A8211A"/>
    <w:rsid w:val="00A8309D"/>
    <w:rsid w:val="00A8342B"/>
    <w:rsid w:val="00A84E3B"/>
    <w:rsid w:val="00A86797"/>
    <w:rsid w:val="00A8749F"/>
    <w:rsid w:val="00A914DF"/>
    <w:rsid w:val="00A94567"/>
    <w:rsid w:val="00AA1F20"/>
    <w:rsid w:val="00AA4BD9"/>
    <w:rsid w:val="00AA6278"/>
    <w:rsid w:val="00AB0482"/>
    <w:rsid w:val="00AB095A"/>
    <w:rsid w:val="00AB2184"/>
    <w:rsid w:val="00AB3B4A"/>
    <w:rsid w:val="00AB5D57"/>
    <w:rsid w:val="00AB7140"/>
    <w:rsid w:val="00AB7E2D"/>
    <w:rsid w:val="00AC2B5A"/>
    <w:rsid w:val="00AC762E"/>
    <w:rsid w:val="00AD01B8"/>
    <w:rsid w:val="00AD2370"/>
    <w:rsid w:val="00AE177A"/>
    <w:rsid w:val="00AE1C11"/>
    <w:rsid w:val="00AE26A8"/>
    <w:rsid w:val="00AE2760"/>
    <w:rsid w:val="00AE305D"/>
    <w:rsid w:val="00AE7121"/>
    <w:rsid w:val="00AE74CD"/>
    <w:rsid w:val="00AF00F5"/>
    <w:rsid w:val="00AF2F5B"/>
    <w:rsid w:val="00AF73E3"/>
    <w:rsid w:val="00B024E4"/>
    <w:rsid w:val="00B03792"/>
    <w:rsid w:val="00B06256"/>
    <w:rsid w:val="00B0673F"/>
    <w:rsid w:val="00B10F45"/>
    <w:rsid w:val="00B10F8E"/>
    <w:rsid w:val="00B1213C"/>
    <w:rsid w:val="00B14252"/>
    <w:rsid w:val="00B207DC"/>
    <w:rsid w:val="00B2101E"/>
    <w:rsid w:val="00B214AA"/>
    <w:rsid w:val="00B22F62"/>
    <w:rsid w:val="00B24489"/>
    <w:rsid w:val="00B26434"/>
    <w:rsid w:val="00B26C3C"/>
    <w:rsid w:val="00B3522E"/>
    <w:rsid w:val="00B37F57"/>
    <w:rsid w:val="00B37FF3"/>
    <w:rsid w:val="00B428C8"/>
    <w:rsid w:val="00B545C2"/>
    <w:rsid w:val="00B54A2E"/>
    <w:rsid w:val="00B55484"/>
    <w:rsid w:val="00B5670A"/>
    <w:rsid w:val="00B571BA"/>
    <w:rsid w:val="00B602EE"/>
    <w:rsid w:val="00B60D44"/>
    <w:rsid w:val="00B61E65"/>
    <w:rsid w:val="00B647D0"/>
    <w:rsid w:val="00B75EFB"/>
    <w:rsid w:val="00B80FE6"/>
    <w:rsid w:val="00B83741"/>
    <w:rsid w:val="00B83C40"/>
    <w:rsid w:val="00B92B11"/>
    <w:rsid w:val="00B93E27"/>
    <w:rsid w:val="00BA0F3B"/>
    <w:rsid w:val="00BA1733"/>
    <w:rsid w:val="00BB2EB1"/>
    <w:rsid w:val="00BB39F2"/>
    <w:rsid w:val="00BB6E0F"/>
    <w:rsid w:val="00BC3899"/>
    <w:rsid w:val="00BE02CC"/>
    <w:rsid w:val="00BE342C"/>
    <w:rsid w:val="00BE3EC1"/>
    <w:rsid w:val="00BE7856"/>
    <w:rsid w:val="00BF2A62"/>
    <w:rsid w:val="00BF6754"/>
    <w:rsid w:val="00BF6FA5"/>
    <w:rsid w:val="00C00CC3"/>
    <w:rsid w:val="00C1354A"/>
    <w:rsid w:val="00C135A0"/>
    <w:rsid w:val="00C14402"/>
    <w:rsid w:val="00C16604"/>
    <w:rsid w:val="00C209EF"/>
    <w:rsid w:val="00C2443A"/>
    <w:rsid w:val="00C25027"/>
    <w:rsid w:val="00C31056"/>
    <w:rsid w:val="00C362F1"/>
    <w:rsid w:val="00C536C5"/>
    <w:rsid w:val="00C53CF9"/>
    <w:rsid w:val="00C65AAF"/>
    <w:rsid w:val="00C70560"/>
    <w:rsid w:val="00C720A3"/>
    <w:rsid w:val="00C758AE"/>
    <w:rsid w:val="00C76A51"/>
    <w:rsid w:val="00C80A25"/>
    <w:rsid w:val="00C82AB5"/>
    <w:rsid w:val="00C8614D"/>
    <w:rsid w:val="00C869A2"/>
    <w:rsid w:val="00C86E2B"/>
    <w:rsid w:val="00C87215"/>
    <w:rsid w:val="00C91147"/>
    <w:rsid w:val="00C95CBD"/>
    <w:rsid w:val="00C963A3"/>
    <w:rsid w:val="00CA0E49"/>
    <w:rsid w:val="00CA6099"/>
    <w:rsid w:val="00CA6836"/>
    <w:rsid w:val="00CB0122"/>
    <w:rsid w:val="00CB3E3A"/>
    <w:rsid w:val="00CB6D5A"/>
    <w:rsid w:val="00CB7C8B"/>
    <w:rsid w:val="00CC1EBD"/>
    <w:rsid w:val="00CC3995"/>
    <w:rsid w:val="00CD39D4"/>
    <w:rsid w:val="00CD63CA"/>
    <w:rsid w:val="00CE0516"/>
    <w:rsid w:val="00CE255B"/>
    <w:rsid w:val="00CF0172"/>
    <w:rsid w:val="00CF15EF"/>
    <w:rsid w:val="00CF1B79"/>
    <w:rsid w:val="00CF2004"/>
    <w:rsid w:val="00CF486B"/>
    <w:rsid w:val="00D0024A"/>
    <w:rsid w:val="00D01011"/>
    <w:rsid w:val="00D0201E"/>
    <w:rsid w:val="00D020FF"/>
    <w:rsid w:val="00D06083"/>
    <w:rsid w:val="00D152D3"/>
    <w:rsid w:val="00D209E0"/>
    <w:rsid w:val="00D24FB0"/>
    <w:rsid w:val="00D2741D"/>
    <w:rsid w:val="00D27CC6"/>
    <w:rsid w:val="00D315F9"/>
    <w:rsid w:val="00D35D6F"/>
    <w:rsid w:val="00D36BB3"/>
    <w:rsid w:val="00D41C74"/>
    <w:rsid w:val="00D429ED"/>
    <w:rsid w:val="00D4326F"/>
    <w:rsid w:val="00D436F3"/>
    <w:rsid w:val="00D4521F"/>
    <w:rsid w:val="00D453AE"/>
    <w:rsid w:val="00D45B3F"/>
    <w:rsid w:val="00D45CBB"/>
    <w:rsid w:val="00D50ED1"/>
    <w:rsid w:val="00D53350"/>
    <w:rsid w:val="00D5676B"/>
    <w:rsid w:val="00D573B4"/>
    <w:rsid w:val="00D62537"/>
    <w:rsid w:val="00D63A96"/>
    <w:rsid w:val="00D72145"/>
    <w:rsid w:val="00D72C83"/>
    <w:rsid w:val="00D73167"/>
    <w:rsid w:val="00D743E3"/>
    <w:rsid w:val="00D80115"/>
    <w:rsid w:val="00D81E19"/>
    <w:rsid w:val="00D83749"/>
    <w:rsid w:val="00D83C97"/>
    <w:rsid w:val="00D8561C"/>
    <w:rsid w:val="00D90DF1"/>
    <w:rsid w:val="00D97253"/>
    <w:rsid w:val="00DA08CB"/>
    <w:rsid w:val="00DA57A2"/>
    <w:rsid w:val="00DB0F7E"/>
    <w:rsid w:val="00DB3575"/>
    <w:rsid w:val="00DC0159"/>
    <w:rsid w:val="00DC463F"/>
    <w:rsid w:val="00DD60F1"/>
    <w:rsid w:val="00DD7CB7"/>
    <w:rsid w:val="00DE0DCE"/>
    <w:rsid w:val="00DE0E26"/>
    <w:rsid w:val="00DE1E5E"/>
    <w:rsid w:val="00DE27A1"/>
    <w:rsid w:val="00DE3AF1"/>
    <w:rsid w:val="00DE4DB7"/>
    <w:rsid w:val="00DF07AA"/>
    <w:rsid w:val="00DF31AD"/>
    <w:rsid w:val="00DF3F57"/>
    <w:rsid w:val="00DF5979"/>
    <w:rsid w:val="00DF66B1"/>
    <w:rsid w:val="00E00547"/>
    <w:rsid w:val="00E069DA"/>
    <w:rsid w:val="00E10275"/>
    <w:rsid w:val="00E10E3E"/>
    <w:rsid w:val="00E110E9"/>
    <w:rsid w:val="00E14B57"/>
    <w:rsid w:val="00E23574"/>
    <w:rsid w:val="00E33C1D"/>
    <w:rsid w:val="00E41D6A"/>
    <w:rsid w:val="00E4338B"/>
    <w:rsid w:val="00E43AA9"/>
    <w:rsid w:val="00E43CA6"/>
    <w:rsid w:val="00E460C7"/>
    <w:rsid w:val="00E46AE3"/>
    <w:rsid w:val="00E47AD2"/>
    <w:rsid w:val="00E501E4"/>
    <w:rsid w:val="00E54706"/>
    <w:rsid w:val="00E66177"/>
    <w:rsid w:val="00E70330"/>
    <w:rsid w:val="00E72841"/>
    <w:rsid w:val="00E73718"/>
    <w:rsid w:val="00E81427"/>
    <w:rsid w:val="00E8323A"/>
    <w:rsid w:val="00E835DD"/>
    <w:rsid w:val="00E84B36"/>
    <w:rsid w:val="00E8701B"/>
    <w:rsid w:val="00EA44EE"/>
    <w:rsid w:val="00EA4D33"/>
    <w:rsid w:val="00EA673D"/>
    <w:rsid w:val="00EA67A2"/>
    <w:rsid w:val="00EB1A2B"/>
    <w:rsid w:val="00EB37FF"/>
    <w:rsid w:val="00EB663D"/>
    <w:rsid w:val="00EC2A5C"/>
    <w:rsid w:val="00EC60C4"/>
    <w:rsid w:val="00ED2253"/>
    <w:rsid w:val="00ED6CEC"/>
    <w:rsid w:val="00EE42CA"/>
    <w:rsid w:val="00EE53CB"/>
    <w:rsid w:val="00EF067E"/>
    <w:rsid w:val="00EF2FB3"/>
    <w:rsid w:val="00EF475C"/>
    <w:rsid w:val="00EF57F3"/>
    <w:rsid w:val="00F172B9"/>
    <w:rsid w:val="00F2221A"/>
    <w:rsid w:val="00F23791"/>
    <w:rsid w:val="00F2466E"/>
    <w:rsid w:val="00F31982"/>
    <w:rsid w:val="00F36935"/>
    <w:rsid w:val="00F42146"/>
    <w:rsid w:val="00F46DC2"/>
    <w:rsid w:val="00F46E11"/>
    <w:rsid w:val="00F501A8"/>
    <w:rsid w:val="00F5494A"/>
    <w:rsid w:val="00F579E5"/>
    <w:rsid w:val="00F6271C"/>
    <w:rsid w:val="00F666D5"/>
    <w:rsid w:val="00F70BEB"/>
    <w:rsid w:val="00F71B0E"/>
    <w:rsid w:val="00F764BC"/>
    <w:rsid w:val="00F76F60"/>
    <w:rsid w:val="00F8057A"/>
    <w:rsid w:val="00F86CA7"/>
    <w:rsid w:val="00F870AA"/>
    <w:rsid w:val="00F948B8"/>
    <w:rsid w:val="00F96060"/>
    <w:rsid w:val="00FB208D"/>
    <w:rsid w:val="00FB70E6"/>
    <w:rsid w:val="00FB7830"/>
    <w:rsid w:val="00FC29DE"/>
    <w:rsid w:val="00FC30CD"/>
    <w:rsid w:val="00FD2DE4"/>
    <w:rsid w:val="00FE0763"/>
    <w:rsid w:val="00FE4C1D"/>
    <w:rsid w:val="00FE6E88"/>
    <w:rsid w:val="00FE7E47"/>
    <w:rsid w:val="00FF282F"/>
    <w:rsid w:val="0162268E"/>
    <w:rsid w:val="01764F01"/>
    <w:rsid w:val="01806EBE"/>
    <w:rsid w:val="01821D40"/>
    <w:rsid w:val="019E7B42"/>
    <w:rsid w:val="01E272AD"/>
    <w:rsid w:val="02017862"/>
    <w:rsid w:val="021F25D5"/>
    <w:rsid w:val="02302A89"/>
    <w:rsid w:val="0244197C"/>
    <w:rsid w:val="024D6B6A"/>
    <w:rsid w:val="02746B1B"/>
    <w:rsid w:val="029B04E7"/>
    <w:rsid w:val="02B840D2"/>
    <w:rsid w:val="02FA5057"/>
    <w:rsid w:val="03031A74"/>
    <w:rsid w:val="03073BDC"/>
    <w:rsid w:val="03311BC3"/>
    <w:rsid w:val="033F44DC"/>
    <w:rsid w:val="037E73B4"/>
    <w:rsid w:val="03C442F7"/>
    <w:rsid w:val="03D63717"/>
    <w:rsid w:val="04337C85"/>
    <w:rsid w:val="044A7990"/>
    <w:rsid w:val="046645D4"/>
    <w:rsid w:val="046945F1"/>
    <w:rsid w:val="0488378F"/>
    <w:rsid w:val="051D4D0F"/>
    <w:rsid w:val="0555228E"/>
    <w:rsid w:val="05562852"/>
    <w:rsid w:val="059D1E39"/>
    <w:rsid w:val="05E078B3"/>
    <w:rsid w:val="05F670D0"/>
    <w:rsid w:val="05FF2629"/>
    <w:rsid w:val="060C2C70"/>
    <w:rsid w:val="061807E6"/>
    <w:rsid w:val="06327940"/>
    <w:rsid w:val="073B4389"/>
    <w:rsid w:val="076047F4"/>
    <w:rsid w:val="07795C70"/>
    <w:rsid w:val="077D0583"/>
    <w:rsid w:val="079724D0"/>
    <w:rsid w:val="07A76D75"/>
    <w:rsid w:val="07CC5EFA"/>
    <w:rsid w:val="07F611EA"/>
    <w:rsid w:val="080A41FF"/>
    <w:rsid w:val="082A352F"/>
    <w:rsid w:val="08543CCE"/>
    <w:rsid w:val="08834034"/>
    <w:rsid w:val="08893576"/>
    <w:rsid w:val="08923AEB"/>
    <w:rsid w:val="08A66196"/>
    <w:rsid w:val="08C349D1"/>
    <w:rsid w:val="08EC191F"/>
    <w:rsid w:val="090F570F"/>
    <w:rsid w:val="0920753B"/>
    <w:rsid w:val="096A671F"/>
    <w:rsid w:val="09875ACE"/>
    <w:rsid w:val="09AC4B87"/>
    <w:rsid w:val="09CB6C73"/>
    <w:rsid w:val="09F67CD5"/>
    <w:rsid w:val="0A19054B"/>
    <w:rsid w:val="0A3F5639"/>
    <w:rsid w:val="0A4962DE"/>
    <w:rsid w:val="0A8843F7"/>
    <w:rsid w:val="0AB83E03"/>
    <w:rsid w:val="0ACF2158"/>
    <w:rsid w:val="0B1A6D5B"/>
    <w:rsid w:val="0B440070"/>
    <w:rsid w:val="0B9E71DF"/>
    <w:rsid w:val="0BA4714B"/>
    <w:rsid w:val="0BF227FB"/>
    <w:rsid w:val="0BFF4CF2"/>
    <w:rsid w:val="0C016E53"/>
    <w:rsid w:val="0C04381F"/>
    <w:rsid w:val="0C22258B"/>
    <w:rsid w:val="0C230FA7"/>
    <w:rsid w:val="0C6178D1"/>
    <w:rsid w:val="0C646FA9"/>
    <w:rsid w:val="0C9C0182"/>
    <w:rsid w:val="0C9D30C2"/>
    <w:rsid w:val="0CBE2608"/>
    <w:rsid w:val="0D3676EE"/>
    <w:rsid w:val="0D573858"/>
    <w:rsid w:val="0D63214B"/>
    <w:rsid w:val="0D7C6276"/>
    <w:rsid w:val="0D7F5CE1"/>
    <w:rsid w:val="0D8C60C9"/>
    <w:rsid w:val="0D9D65F4"/>
    <w:rsid w:val="0DC62ED7"/>
    <w:rsid w:val="0E0350FB"/>
    <w:rsid w:val="0E172BD0"/>
    <w:rsid w:val="0E37382F"/>
    <w:rsid w:val="0E987834"/>
    <w:rsid w:val="0EDB2038"/>
    <w:rsid w:val="0EEE55ED"/>
    <w:rsid w:val="0F520519"/>
    <w:rsid w:val="0F5C2E50"/>
    <w:rsid w:val="0F6E784F"/>
    <w:rsid w:val="0F9C54A4"/>
    <w:rsid w:val="0FF107C9"/>
    <w:rsid w:val="0FFF33A1"/>
    <w:rsid w:val="101972D2"/>
    <w:rsid w:val="10425A9C"/>
    <w:rsid w:val="10880B98"/>
    <w:rsid w:val="10A50104"/>
    <w:rsid w:val="10BF1266"/>
    <w:rsid w:val="10EF2D3F"/>
    <w:rsid w:val="10FB4967"/>
    <w:rsid w:val="115B3410"/>
    <w:rsid w:val="119D7849"/>
    <w:rsid w:val="11E750ED"/>
    <w:rsid w:val="11E84F22"/>
    <w:rsid w:val="11F472C8"/>
    <w:rsid w:val="1237609D"/>
    <w:rsid w:val="1242135C"/>
    <w:rsid w:val="125213B1"/>
    <w:rsid w:val="12635BD9"/>
    <w:rsid w:val="126B73F5"/>
    <w:rsid w:val="127D04AC"/>
    <w:rsid w:val="12E12426"/>
    <w:rsid w:val="133C2551"/>
    <w:rsid w:val="134941FA"/>
    <w:rsid w:val="13557CF4"/>
    <w:rsid w:val="13A1683F"/>
    <w:rsid w:val="13D56EC2"/>
    <w:rsid w:val="13D67B20"/>
    <w:rsid w:val="141E28FF"/>
    <w:rsid w:val="14275621"/>
    <w:rsid w:val="143F0EB7"/>
    <w:rsid w:val="146D1A81"/>
    <w:rsid w:val="14A611A1"/>
    <w:rsid w:val="14A960A7"/>
    <w:rsid w:val="14C76F24"/>
    <w:rsid w:val="14DA3DA1"/>
    <w:rsid w:val="14FC129F"/>
    <w:rsid w:val="150560EA"/>
    <w:rsid w:val="15520F9A"/>
    <w:rsid w:val="159D13FA"/>
    <w:rsid w:val="15A970FA"/>
    <w:rsid w:val="15CB7C48"/>
    <w:rsid w:val="15D0291F"/>
    <w:rsid w:val="15F9280F"/>
    <w:rsid w:val="16310E11"/>
    <w:rsid w:val="16AB6BE0"/>
    <w:rsid w:val="16D92122"/>
    <w:rsid w:val="16F26E3A"/>
    <w:rsid w:val="170267E5"/>
    <w:rsid w:val="17155857"/>
    <w:rsid w:val="17167C71"/>
    <w:rsid w:val="173D27D1"/>
    <w:rsid w:val="174272A3"/>
    <w:rsid w:val="1746738F"/>
    <w:rsid w:val="176168BA"/>
    <w:rsid w:val="1790325F"/>
    <w:rsid w:val="17950508"/>
    <w:rsid w:val="18333EFD"/>
    <w:rsid w:val="18401769"/>
    <w:rsid w:val="189368EB"/>
    <w:rsid w:val="189E399C"/>
    <w:rsid w:val="18CC521F"/>
    <w:rsid w:val="19010C43"/>
    <w:rsid w:val="19084C73"/>
    <w:rsid w:val="19807130"/>
    <w:rsid w:val="19B37A8F"/>
    <w:rsid w:val="19DA12A0"/>
    <w:rsid w:val="1A054259"/>
    <w:rsid w:val="1A1B15EA"/>
    <w:rsid w:val="1A1F669B"/>
    <w:rsid w:val="1A326D68"/>
    <w:rsid w:val="1A434CD9"/>
    <w:rsid w:val="1A5A1732"/>
    <w:rsid w:val="1A91314F"/>
    <w:rsid w:val="1AE936D5"/>
    <w:rsid w:val="1AEE1287"/>
    <w:rsid w:val="1AF45DC3"/>
    <w:rsid w:val="1B0921E7"/>
    <w:rsid w:val="1B3E6EBA"/>
    <w:rsid w:val="1B6F5CEB"/>
    <w:rsid w:val="1B7C654F"/>
    <w:rsid w:val="1B7F6005"/>
    <w:rsid w:val="1B845B1C"/>
    <w:rsid w:val="1B9A4111"/>
    <w:rsid w:val="1BA572AF"/>
    <w:rsid w:val="1C132CB9"/>
    <w:rsid w:val="1C1F3484"/>
    <w:rsid w:val="1C975AA3"/>
    <w:rsid w:val="1C9F5AD2"/>
    <w:rsid w:val="1CCC26CA"/>
    <w:rsid w:val="1CFA4EEC"/>
    <w:rsid w:val="1D1B0C4B"/>
    <w:rsid w:val="1D64726C"/>
    <w:rsid w:val="1D760B18"/>
    <w:rsid w:val="1DB44757"/>
    <w:rsid w:val="1DC54AE8"/>
    <w:rsid w:val="1DF1427E"/>
    <w:rsid w:val="1E054D0E"/>
    <w:rsid w:val="1E7A20D5"/>
    <w:rsid w:val="1E821251"/>
    <w:rsid w:val="1E9D6342"/>
    <w:rsid w:val="1EE233C0"/>
    <w:rsid w:val="1EF22452"/>
    <w:rsid w:val="1F224C70"/>
    <w:rsid w:val="1F4271B7"/>
    <w:rsid w:val="1F666A53"/>
    <w:rsid w:val="20497C98"/>
    <w:rsid w:val="204E6676"/>
    <w:rsid w:val="205F0395"/>
    <w:rsid w:val="20D05D17"/>
    <w:rsid w:val="20D56133"/>
    <w:rsid w:val="20DD53B2"/>
    <w:rsid w:val="20F1537D"/>
    <w:rsid w:val="21265F0B"/>
    <w:rsid w:val="2195668B"/>
    <w:rsid w:val="21B86282"/>
    <w:rsid w:val="21BE5AD4"/>
    <w:rsid w:val="21C74CE9"/>
    <w:rsid w:val="222665F0"/>
    <w:rsid w:val="223C5E24"/>
    <w:rsid w:val="229627F6"/>
    <w:rsid w:val="22BD13C5"/>
    <w:rsid w:val="22BD280A"/>
    <w:rsid w:val="23057533"/>
    <w:rsid w:val="23081A49"/>
    <w:rsid w:val="234D6A37"/>
    <w:rsid w:val="23500484"/>
    <w:rsid w:val="23564010"/>
    <w:rsid w:val="23A1186E"/>
    <w:rsid w:val="23C16DF2"/>
    <w:rsid w:val="241B6BAA"/>
    <w:rsid w:val="245C52F8"/>
    <w:rsid w:val="2463385E"/>
    <w:rsid w:val="248B1259"/>
    <w:rsid w:val="24A43DF9"/>
    <w:rsid w:val="24B13BE0"/>
    <w:rsid w:val="24E62C91"/>
    <w:rsid w:val="24F63303"/>
    <w:rsid w:val="250D568B"/>
    <w:rsid w:val="25134332"/>
    <w:rsid w:val="252A18F3"/>
    <w:rsid w:val="25320B04"/>
    <w:rsid w:val="257A78CA"/>
    <w:rsid w:val="257E508F"/>
    <w:rsid w:val="259126C6"/>
    <w:rsid w:val="261D70A2"/>
    <w:rsid w:val="26663242"/>
    <w:rsid w:val="26BF5712"/>
    <w:rsid w:val="27375F2C"/>
    <w:rsid w:val="273C2932"/>
    <w:rsid w:val="27490038"/>
    <w:rsid w:val="27724843"/>
    <w:rsid w:val="278E1479"/>
    <w:rsid w:val="27AB7429"/>
    <w:rsid w:val="27AF7580"/>
    <w:rsid w:val="27CE5226"/>
    <w:rsid w:val="27FE52D9"/>
    <w:rsid w:val="280F0C97"/>
    <w:rsid w:val="2849651C"/>
    <w:rsid w:val="285C053E"/>
    <w:rsid w:val="285D5D1E"/>
    <w:rsid w:val="287A4F60"/>
    <w:rsid w:val="28E200A7"/>
    <w:rsid w:val="28FC6167"/>
    <w:rsid w:val="290E0E8F"/>
    <w:rsid w:val="2956221E"/>
    <w:rsid w:val="299D434A"/>
    <w:rsid w:val="29B9564D"/>
    <w:rsid w:val="29C46E1A"/>
    <w:rsid w:val="29FA0993"/>
    <w:rsid w:val="29FA7F26"/>
    <w:rsid w:val="2A2B2A36"/>
    <w:rsid w:val="2A94606B"/>
    <w:rsid w:val="2AC13463"/>
    <w:rsid w:val="2AFA4093"/>
    <w:rsid w:val="2B1C77FE"/>
    <w:rsid w:val="2B491AEB"/>
    <w:rsid w:val="2B54094E"/>
    <w:rsid w:val="2B7125A5"/>
    <w:rsid w:val="2B774832"/>
    <w:rsid w:val="2BC12DE4"/>
    <w:rsid w:val="2BC90088"/>
    <w:rsid w:val="2BD36767"/>
    <w:rsid w:val="2C045722"/>
    <w:rsid w:val="2C366CE2"/>
    <w:rsid w:val="2C8E5D3A"/>
    <w:rsid w:val="2D1A3A5D"/>
    <w:rsid w:val="2D5B5F1D"/>
    <w:rsid w:val="2D996659"/>
    <w:rsid w:val="2DB5169A"/>
    <w:rsid w:val="2DF562D2"/>
    <w:rsid w:val="2E063913"/>
    <w:rsid w:val="2E1B16DF"/>
    <w:rsid w:val="2E1B5BB0"/>
    <w:rsid w:val="2E2A61D4"/>
    <w:rsid w:val="2E6A6550"/>
    <w:rsid w:val="2E6B2230"/>
    <w:rsid w:val="2EC0464C"/>
    <w:rsid w:val="2EDC1478"/>
    <w:rsid w:val="2EFA72E5"/>
    <w:rsid w:val="2F1251F2"/>
    <w:rsid w:val="2F2A7234"/>
    <w:rsid w:val="2F35349B"/>
    <w:rsid w:val="2F372120"/>
    <w:rsid w:val="2FBE2186"/>
    <w:rsid w:val="30225B56"/>
    <w:rsid w:val="302E6DD4"/>
    <w:rsid w:val="30490358"/>
    <w:rsid w:val="305A32AA"/>
    <w:rsid w:val="30961E74"/>
    <w:rsid w:val="30962F3E"/>
    <w:rsid w:val="30D17E68"/>
    <w:rsid w:val="30FF2795"/>
    <w:rsid w:val="311E66E9"/>
    <w:rsid w:val="31246B73"/>
    <w:rsid w:val="312756C9"/>
    <w:rsid w:val="316D28CA"/>
    <w:rsid w:val="3172592F"/>
    <w:rsid w:val="31BE27EA"/>
    <w:rsid w:val="31F74610"/>
    <w:rsid w:val="32105575"/>
    <w:rsid w:val="329A6ACE"/>
    <w:rsid w:val="32B16A50"/>
    <w:rsid w:val="32E37353"/>
    <w:rsid w:val="33A40578"/>
    <w:rsid w:val="33AD5627"/>
    <w:rsid w:val="33B43C81"/>
    <w:rsid w:val="33DF2991"/>
    <w:rsid w:val="33F02A6C"/>
    <w:rsid w:val="34177D64"/>
    <w:rsid w:val="351B5837"/>
    <w:rsid w:val="35446D2B"/>
    <w:rsid w:val="356E7F9C"/>
    <w:rsid w:val="35782E8F"/>
    <w:rsid w:val="358D329B"/>
    <w:rsid w:val="35D248A8"/>
    <w:rsid w:val="35E90938"/>
    <w:rsid w:val="360B1D73"/>
    <w:rsid w:val="361F3323"/>
    <w:rsid w:val="362C110C"/>
    <w:rsid w:val="36316013"/>
    <w:rsid w:val="36815E41"/>
    <w:rsid w:val="36B06EC2"/>
    <w:rsid w:val="36DA5FAA"/>
    <w:rsid w:val="36E93760"/>
    <w:rsid w:val="373B6D0E"/>
    <w:rsid w:val="3768478E"/>
    <w:rsid w:val="3784394E"/>
    <w:rsid w:val="37AE66EA"/>
    <w:rsid w:val="37E36FA8"/>
    <w:rsid w:val="38005CE8"/>
    <w:rsid w:val="3802434D"/>
    <w:rsid w:val="38440651"/>
    <w:rsid w:val="38822905"/>
    <w:rsid w:val="38861AEC"/>
    <w:rsid w:val="3892196A"/>
    <w:rsid w:val="38956BB4"/>
    <w:rsid w:val="389C0089"/>
    <w:rsid w:val="38AA5E32"/>
    <w:rsid w:val="38AE3BB0"/>
    <w:rsid w:val="38AF2A4C"/>
    <w:rsid w:val="390137D4"/>
    <w:rsid w:val="39214A87"/>
    <w:rsid w:val="39434124"/>
    <w:rsid w:val="399449B5"/>
    <w:rsid w:val="3A1F3789"/>
    <w:rsid w:val="3A2025F3"/>
    <w:rsid w:val="3A7D2422"/>
    <w:rsid w:val="3ACB5746"/>
    <w:rsid w:val="3AE82784"/>
    <w:rsid w:val="3B0C5E6C"/>
    <w:rsid w:val="3BA34642"/>
    <w:rsid w:val="3BA77F86"/>
    <w:rsid w:val="3BA86CCD"/>
    <w:rsid w:val="3BB20883"/>
    <w:rsid w:val="3BB4096A"/>
    <w:rsid w:val="3BBD68FC"/>
    <w:rsid w:val="3C476638"/>
    <w:rsid w:val="3C484781"/>
    <w:rsid w:val="3D0E527F"/>
    <w:rsid w:val="3D163605"/>
    <w:rsid w:val="3D560D8F"/>
    <w:rsid w:val="3D684388"/>
    <w:rsid w:val="3D962CB3"/>
    <w:rsid w:val="3DA8275C"/>
    <w:rsid w:val="3DD42738"/>
    <w:rsid w:val="3DDB5F69"/>
    <w:rsid w:val="3E441C7D"/>
    <w:rsid w:val="3E4B563E"/>
    <w:rsid w:val="3E712EDD"/>
    <w:rsid w:val="3ED3498D"/>
    <w:rsid w:val="3EF61D38"/>
    <w:rsid w:val="3F5D7F81"/>
    <w:rsid w:val="3FA0584F"/>
    <w:rsid w:val="3FC956FF"/>
    <w:rsid w:val="3FCB701F"/>
    <w:rsid w:val="3FF830EB"/>
    <w:rsid w:val="3FFC6459"/>
    <w:rsid w:val="402541EA"/>
    <w:rsid w:val="403A56AF"/>
    <w:rsid w:val="403D62BF"/>
    <w:rsid w:val="407C1043"/>
    <w:rsid w:val="409604E3"/>
    <w:rsid w:val="40A36A71"/>
    <w:rsid w:val="40B91094"/>
    <w:rsid w:val="40BA670C"/>
    <w:rsid w:val="40F471D1"/>
    <w:rsid w:val="410E4736"/>
    <w:rsid w:val="41531A8A"/>
    <w:rsid w:val="41536549"/>
    <w:rsid w:val="41704976"/>
    <w:rsid w:val="4172680A"/>
    <w:rsid w:val="41796F79"/>
    <w:rsid w:val="41D3631F"/>
    <w:rsid w:val="41F466FD"/>
    <w:rsid w:val="41F81764"/>
    <w:rsid w:val="42250D3B"/>
    <w:rsid w:val="422763BC"/>
    <w:rsid w:val="4228368E"/>
    <w:rsid w:val="4232402D"/>
    <w:rsid w:val="42765472"/>
    <w:rsid w:val="427F677D"/>
    <w:rsid w:val="429452EC"/>
    <w:rsid w:val="42A67A24"/>
    <w:rsid w:val="42D846B9"/>
    <w:rsid w:val="431D0FE3"/>
    <w:rsid w:val="431F4804"/>
    <w:rsid w:val="43906DB5"/>
    <w:rsid w:val="43AD1E58"/>
    <w:rsid w:val="43B5610A"/>
    <w:rsid w:val="43BA166B"/>
    <w:rsid w:val="43C9140E"/>
    <w:rsid w:val="440D5045"/>
    <w:rsid w:val="44356F6B"/>
    <w:rsid w:val="445C736C"/>
    <w:rsid w:val="446C5B6C"/>
    <w:rsid w:val="44AC68E9"/>
    <w:rsid w:val="45153C9D"/>
    <w:rsid w:val="4520004C"/>
    <w:rsid w:val="45232A77"/>
    <w:rsid w:val="457A59E3"/>
    <w:rsid w:val="45A35B46"/>
    <w:rsid w:val="45BE6191"/>
    <w:rsid w:val="45F939A7"/>
    <w:rsid w:val="460C5979"/>
    <w:rsid w:val="462309DF"/>
    <w:rsid w:val="46234CBC"/>
    <w:rsid w:val="467F7005"/>
    <w:rsid w:val="46C43BF4"/>
    <w:rsid w:val="46D65D1F"/>
    <w:rsid w:val="46E01F41"/>
    <w:rsid w:val="46E43AEF"/>
    <w:rsid w:val="46ED7579"/>
    <w:rsid w:val="47524A62"/>
    <w:rsid w:val="475F0EF8"/>
    <w:rsid w:val="477763D8"/>
    <w:rsid w:val="477A5042"/>
    <w:rsid w:val="47835694"/>
    <w:rsid w:val="47C01792"/>
    <w:rsid w:val="47D16838"/>
    <w:rsid w:val="47FD3E9F"/>
    <w:rsid w:val="4808150F"/>
    <w:rsid w:val="48315546"/>
    <w:rsid w:val="485608D1"/>
    <w:rsid w:val="48B87D37"/>
    <w:rsid w:val="48D86550"/>
    <w:rsid w:val="48F92E9A"/>
    <w:rsid w:val="49251A7F"/>
    <w:rsid w:val="494906E8"/>
    <w:rsid w:val="498D7F46"/>
    <w:rsid w:val="499D4EE8"/>
    <w:rsid w:val="49D0581A"/>
    <w:rsid w:val="49E9233D"/>
    <w:rsid w:val="49F15511"/>
    <w:rsid w:val="4A0869A3"/>
    <w:rsid w:val="4A1827CD"/>
    <w:rsid w:val="4A1C50BF"/>
    <w:rsid w:val="4A4A0C44"/>
    <w:rsid w:val="4AAD1944"/>
    <w:rsid w:val="4AC31003"/>
    <w:rsid w:val="4AE93159"/>
    <w:rsid w:val="4AF06A4D"/>
    <w:rsid w:val="4B024EAF"/>
    <w:rsid w:val="4B4878A9"/>
    <w:rsid w:val="4B694536"/>
    <w:rsid w:val="4B6D4F17"/>
    <w:rsid w:val="4BB74F02"/>
    <w:rsid w:val="4BBF11D3"/>
    <w:rsid w:val="4BC858F2"/>
    <w:rsid w:val="4BCF0D7E"/>
    <w:rsid w:val="4BD0339A"/>
    <w:rsid w:val="4BEA3C9D"/>
    <w:rsid w:val="4C010BE9"/>
    <w:rsid w:val="4C195B6C"/>
    <w:rsid w:val="4C8E4174"/>
    <w:rsid w:val="4CDE1BDC"/>
    <w:rsid w:val="4CDF3441"/>
    <w:rsid w:val="4CF32AFE"/>
    <w:rsid w:val="4D02362A"/>
    <w:rsid w:val="4D3B6330"/>
    <w:rsid w:val="4D454781"/>
    <w:rsid w:val="4D462159"/>
    <w:rsid w:val="4D5B4C04"/>
    <w:rsid w:val="4D5C5FAC"/>
    <w:rsid w:val="4D5F0AB9"/>
    <w:rsid w:val="4D862DF4"/>
    <w:rsid w:val="4D8C06EE"/>
    <w:rsid w:val="4DC605B6"/>
    <w:rsid w:val="4DEC0985"/>
    <w:rsid w:val="4DFA595C"/>
    <w:rsid w:val="4E0F7883"/>
    <w:rsid w:val="4E180839"/>
    <w:rsid w:val="4E1A2FE0"/>
    <w:rsid w:val="4E27683A"/>
    <w:rsid w:val="4E4E0A38"/>
    <w:rsid w:val="4E56246A"/>
    <w:rsid w:val="4E7B40D1"/>
    <w:rsid w:val="4E8F338F"/>
    <w:rsid w:val="4EE70088"/>
    <w:rsid w:val="4F134476"/>
    <w:rsid w:val="4F2765B1"/>
    <w:rsid w:val="4F285975"/>
    <w:rsid w:val="4FBF600B"/>
    <w:rsid w:val="4FE43051"/>
    <w:rsid w:val="506A451E"/>
    <w:rsid w:val="50A552B0"/>
    <w:rsid w:val="50AA763B"/>
    <w:rsid w:val="50B44F11"/>
    <w:rsid w:val="50F40ED7"/>
    <w:rsid w:val="50FF3B3F"/>
    <w:rsid w:val="513A2E0E"/>
    <w:rsid w:val="513B48C5"/>
    <w:rsid w:val="514A137E"/>
    <w:rsid w:val="51796EDE"/>
    <w:rsid w:val="51867298"/>
    <w:rsid w:val="52195EDF"/>
    <w:rsid w:val="52313387"/>
    <w:rsid w:val="52787113"/>
    <w:rsid w:val="529D554C"/>
    <w:rsid w:val="52A85BBA"/>
    <w:rsid w:val="52C240A5"/>
    <w:rsid w:val="52E04D27"/>
    <w:rsid w:val="52E8266A"/>
    <w:rsid w:val="52F37F64"/>
    <w:rsid w:val="52F6383C"/>
    <w:rsid w:val="531350EC"/>
    <w:rsid w:val="5331262A"/>
    <w:rsid w:val="539A390F"/>
    <w:rsid w:val="53B03A38"/>
    <w:rsid w:val="53DB3477"/>
    <w:rsid w:val="53FB75D1"/>
    <w:rsid w:val="547F17FE"/>
    <w:rsid w:val="54AF6B42"/>
    <w:rsid w:val="54F273DE"/>
    <w:rsid w:val="552A2DDC"/>
    <w:rsid w:val="55C57CB4"/>
    <w:rsid w:val="55CA1D06"/>
    <w:rsid w:val="55DD69B0"/>
    <w:rsid w:val="55DD6F2A"/>
    <w:rsid w:val="55E40B44"/>
    <w:rsid w:val="5615403F"/>
    <w:rsid w:val="563C5CFC"/>
    <w:rsid w:val="565A0AF1"/>
    <w:rsid w:val="566775C3"/>
    <w:rsid w:val="566A4470"/>
    <w:rsid w:val="56933A82"/>
    <w:rsid w:val="56BE7685"/>
    <w:rsid w:val="56CA6580"/>
    <w:rsid w:val="56DC481A"/>
    <w:rsid w:val="56E23970"/>
    <w:rsid w:val="57353718"/>
    <w:rsid w:val="57497261"/>
    <w:rsid w:val="575D70A1"/>
    <w:rsid w:val="577465BE"/>
    <w:rsid w:val="577A3C7D"/>
    <w:rsid w:val="578F220A"/>
    <w:rsid w:val="57A07D15"/>
    <w:rsid w:val="57B2356A"/>
    <w:rsid w:val="57C84314"/>
    <w:rsid w:val="57E34847"/>
    <w:rsid w:val="57EB75F9"/>
    <w:rsid w:val="57FC07D9"/>
    <w:rsid w:val="57FE2A7E"/>
    <w:rsid w:val="5804517D"/>
    <w:rsid w:val="582519C6"/>
    <w:rsid w:val="584F05C2"/>
    <w:rsid w:val="58500F22"/>
    <w:rsid w:val="5885222F"/>
    <w:rsid w:val="589B0314"/>
    <w:rsid w:val="589E6A7F"/>
    <w:rsid w:val="58A81445"/>
    <w:rsid w:val="58AE7E93"/>
    <w:rsid w:val="58C06E95"/>
    <w:rsid w:val="58CE3E8C"/>
    <w:rsid w:val="590A13C4"/>
    <w:rsid w:val="59194AF7"/>
    <w:rsid w:val="591C0009"/>
    <w:rsid w:val="59353CAD"/>
    <w:rsid w:val="5944025B"/>
    <w:rsid w:val="59580B4F"/>
    <w:rsid w:val="597967A3"/>
    <w:rsid w:val="5A4703FC"/>
    <w:rsid w:val="5A4A6CC6"/>
    <w:rsid w:val="5A675961"/>
    <w:rsid w:val="5ACF0F3A"/>
    <w:rsid w:val="5B26000E"/>
    <w:rsid w:val="5B5728E4"/>
    <w:rsid w:val="5BAE1F5D"/>
    <w:rsid w:val="5BB92950"/>
    <w:rsid w:val="5C281531"/>
    <w:rsid w:val="5C4F07F5"/>
    <w:rsid w:val="5C50228D"/>
    <w:rsid w:val="5C6B1600"/>
    <w:rsid w:val="5C7B20EA"/>
    <w:rsid w:val="5C8E3EAC"/>
    <w:rsid w:val="5C921AD0"/>
    <w:rsid w:val="5CF8424D"/>
    <w:rsid w:val="5D1D1D6D"/>
    <w:rsid w:val="5D383447"/>
    <w:rsid w:val="5DAB1901"/>
    <w:rsid w:val="5DBD6F8D"/>
    <w:rsid w:val="5DC875B2"/>
    <w:rsid w:val="5DE31D14"/>
    <w:rsid w:val="5DFD51DB"/>
    <w:rsid w:val="5DFF3E57"/>
    <w:rsid w:val="5E0D36E5"/>
    <w:rsid w:val="5E6C2CBC"/>
    <w:rsid w:val="5E7216BA"/>
    <w:rsid w:val="5ECA60C5"/>
    <w:rsid w:val="5EEE0D5C"/>
    <w:rsid w:val="5EF8348C"/>
    <w:rsid w:val="5EF86E5C"/>
    <w:rsid w:val="5F3D14BC"/>
    <w:rsid w:val="5F526966"/>
    <w:rsid w:val="5F6C6873"/>
    <w:rsid w:val="5F9D163A"/>
    <w:rsid w:val="5FA531D0"/>
    <w:rsid w:val="5FD46148"/>
    <w:rsid w:val="5FFB3967"/>
    <w:rsid w:val="601E1F04"/>
    <w:rsid w:val="607C3753"/>
    <w:rsid w:val="60AE6C2B"/>
    <w:rsid w:val="60B46AC6"/>
    <w:rsid w:val="60C30855"/>
    <w:rsid w:val="60E80146"/>
    <w:rsid w:val="613D7EC0"/>
    <w:rsid w:val="6140534A"/>
    <w:rsid w:val="61421EFD"/>
    <w:rsid w:val="615C5041"/>
    <w:rsid w:val="61CC6993"/>
    <w:rsid w:val="61F039A5"/>
    <w:rsid w:val="62106AD8"/>
    <w:rsid w:val="622300DF"/>
    <w:rsid w:val="623F7CBD"/>
    <w:rsid w:val="62512813"/>
    <w:rsid w:val="6260440B"/>
    <w:rsid w:val="62810A4D"/>
    <w:rsid w:val="62936F9C"/>
    <w:rsid w:val="629863CD"/>
    <w:rsid w:val="629C5907"/>
    <w:rsid w:val="62A244D9"/>
    <w:rsid w:val="62D92242"/>
    <w:rsid w:val="63072E65"/>
    <w:rsid w:val="63272110"/>
    <w:rsid w:val="632F3156"/>
    <w:rsid w:val="63723A06"/>
    <w:rsid w:val="6383615A"/>
    <w:rsid w:val="63D547D4"/>
    <w:rsid w:val="63DB4F29"/>
    <w:rsid w:val="64377972"/>
    <w:rsid w:val="645A2706"/>
    <w:rsid w:val="645A7944"/>
    <w:rsid w:val="647317E2"/>
    <w:rsid w:val="648235F5"/>
    <w:rsid w:val="64ED71CE"/>
    <w:rsid w:val="651A0AA9"/>
    <w:rsid w:val="6541231C"/>
    <w:rsid w:val="65504DEF"/>
    <w:rsid w:val="6562260F"/>
    <w:rsid w:val="65660485"/>
    <w:rsid w:val="65706925"/>
    <w:rsid w:val="65883172"/>
    <w:rsid w:val="6611643F"/>
    <w:rsid w:val="66307C8B"/>
    <w:rsid w:val="663843DF"/>
    <w:rsid w:val="66423870"/>
    <w:rsid w:val="664805B8"/>
    <w:rsid w:val="664D5322"/>
    <w:rsid w:val="667F0D18"/>
    <w:rsid w:val="66ED1024"/>
    <w:rsid w:val="66F01D4B"/>
    <w:rsid w:val="672763E9"/>
    <w:rsid w:val="67494658"/>
    <w:rsid w:val="6793100B"/>
    <w:rsid w:val="679F1AF1"/>
    <w:rsid w:val="67B64935"/>
    <w:rsid w:val="67EC6D78"/>
    <w:rsid w:val="68016742"/>
    <w:rsid w:val="68057CAE"/>
    <w:rsid w:val="685A6F3D"/>
    <w:rsid w:val="68617BBF"/>
    <w:rsid w:val="68661C6E"/>
    <w:rsid w:val="68AC2E0D"/>
    <w:rsid w:val="68B4383E"/>
    <w:rsid w:val="68DF0EA9"/>
    <w:rsid w:val="68FE2BE0"/>
    <w:rsid w:val="690F418B"/>
    <w:rsid w:val="696269EC"/>
    <w:rsid w:val="69644260"/>
    <w:rsid w:val="69765489"/>
    <w:rsid w:val="69992C12"/>
    <w:rsid w:val="699E1C3B"/>
    <w:rsid w:val="69A719B8"/>
    <w:rsid w:val="69B33D16"/>
    <w:rsid w:val="69D01FCE"/>
    <w:rsid w:val="6A132550"/>
    <w:rsid w:val="6A1F141B"/>
    <w:rsid w:val="6A2877AD"/>
    <w:rsid w:val="6A687837"/>
    <w:rsid w:val="6A6962B5"/>
    <w:rsid w:val="6A7A2736"/>
    <w:rsid w:val="6A7B4B9C"/>
    <w:rsid w:val="6ADA3CD5"/>
    <w:rsid w:val="6ADC224B"/>
    <w:rsid w:val="6BFC2C2C"/>
    <w:rsid w:val="6BFF3332"/>
    <w:rsid w:val="6C073E7C"/>
    <w:rsid w:val="6C7E0886"/>
    <w:rsid w:val="6C89456C"/>
    <w:rsid w:val="6CB36194"/>
    <w:rsid w:val="6D0D1A6A"/>
    <w:rsid w:val="6D27428F"/>
    <w:rsid w:val="6D3976DD"/>
    <w:rsid w:val="6D407EA3"/>
    <w:rsid w:val="6D4B4E07"/>
    <w:rsid w:val="6D7839E4"/>
    <w:rsid w:val="6D7C733E"/>
    <w:rsid w:val="6D817740"/>
    <w:rsid w:val="6D8F0BD8"/>
    <w:rsid w:val="6DA12E7F"/>
    <w:rsid w:val="6DB2096C"/>
    <w:rsid w:val="6DF15EE1"/>
    <w:rsid w:val="6E04085D"/>
    <w:rsid w:val="6E14236D"/>
    <w:rsid w:val="6E254769"/>
    <w:rsid w:val="6E5F6002"/>
    <w:rsid w:val="6E677C38"/>
    <w:rsid w:val="6E8A18B6"/>
    <w:rsid w:val="6EAB63F7"/>
    <w:rsid w:val="6EB77947"/>
    <w:rsid w:val="6EC72BB3"/>
    <w:rsid w:val="6ECC470B"/>
    <w:rsid w:val="6ED674E7"/>
    <w:rsid w:val="6F3670BF"/>
    <w:rsid w:val="6F780BB5"/>
    <w:rsid w:val="6F901B66"/>
    <w:rsid w:val="6FA629D4"/>
    <w:rsid w:val="6FB81772"/>
    <w:rsid w:val="6FBE0351"/>
    <w:rsid w:val="6FD10552"/>
    <w:rsid w:val="6FF652BC"/>
    <w:rsid w:val="70394D0B"/>
    <w:rsid w:val="70475452"/>
    <w:rsid w:val="70550A54"/>
    <w:rsid w:val="70BB2EF0"/>
    <w:rsid w:val="70C53668"/>
    <w:rsid w:val="7100698D"/>
    <w:rsid w:val="717036BF"/>
    <w:rsid w:val="718151AE"/>
    <w:rsid w:val="71C543A2"/>
    <w:rsid w:val="72015C4E"/>
    <w:rsid w:val="723D4DAB"/>
    <w:rsid w:val="727C5172"/>
    <w:rsid w:val="72DD5946"/>
    <w:rsid w:val="72E35FE8"/>
    <w:rsid w:val="72EA33AC"/>
    <w:rsid w:val="730977C6"/>
    <w:rsid w:val="730C5B4C"/>
    <w:rsid w:val="73200696"/>
    <w:rsid w:val="733A4D38"/>
    <w:rsid w:val="73455C21"/>
    <w:rsid w:val="738917D5"/>
    <w:rsid w:val="73AC63B2"/>
    <w:rsid w:val="73C4387B"/>
    <w:rsid w:val="73CA0FB0"/>
    <w:rsid w:val="73D425F7"/>
    <w:rsid w:val="73E23286"/>
    <w:rsid w:val="73ED61B7"/>
    <w:rsid w:val="74147546"/>
    <w:rsid w:val="741C54B9"/>
    <w:rsid w:val="7450765C"/>
    <w:rsid w:val="74991B2F"/>
    <w:rsid w:val="74A451F1"/>
    <w:rsid w:val="74EE6191"/>
    <w:rsid w:val="74FC7909"/>
    <w:rsid w:val="750874F9"/>
    <w:rsid w:val="750A2023"/>
    <w:rsid w:val="7519714D"/>
    <w:rsid w:val="75296CB8"/>
    <w:rsid w:val="75844607"/>
    <w:rsid w:val="75883240"/>
    <w:rsid w:val="75CF4AA2"/>
    <w:rsid w:val="7676736A"/>
    <w:rsid w:val="768B0229"/>
    <w:rsid w:val="76933951"/>
    <w:rsid w:val="76E53AEF"/>
    <w:rsid w:val="771D661B"/>
    <w:rsid w:val="771F37BB"/>
    <w:rsid w:val="771F7714"/>
    <w:rsid w:val="7747608C"/>
    <w:rsid w:val="774F7B56"/>
    <w:rsid w:val="775E526E"/>
    <w:rsid w:val="7771071F"/>
    <w:rsid w:val="77D24F03"/>
    <w:rsid w:val="77D327F1"/>
    <w:rsid w:val="77ED04A8"/>
    <w:rsid w:val="783409E8"/>
    <w:rsid w:val="78634A72"/>
    <w:rsid w:val="786E4611"/>
    <w:rsid w:val="78782A0D"/>
    <w:rsid w:val="78EB32DE"/>
    <w:rsid w:val="792B1961"/>
    <w:rsid w:val="794A24B1"/>
    <w:rsid w:val="7989435B"/>
    <w:rsid w:val="79921278"/>
    <w:rsid w:val="7996144E"/>
    <w:rsid w:val="79A2171F"/>
    <w:rsid w:val="79A252FF"/>
    <w:rsid w:val="79C649C5"/>
    <w:rsid w:val="79D33056"/>
    <w:rsid w:val="79DC62B7"/>
    <w:rsid w:val="79FD4A76"/>
    <w:rsid w:val="7A281320"/>
    <w:rsid w:val="7A45620C"/>
    <w:rsid w:val="7A5F2B7B"/>
    <w:rsid w:val="7A725151"/>
    <w:rsid w:val="7A7F74E2"/>
    <w:rsid w:val="7ADB2BA5"/>
    <w:rsid w:val="7B17231A"/>
    <w:rsid w:val="7B1F3F12"/>
    <w:rsid w:val="7B333F7E"/>
    <w:rsid w:val="7B363CE1"/>
    <w:rsid w:val="7B3C0F9C"/>
    <w:rsid w:val="7B4E4792"/>
    <w:rsid w:val="7B606C90"/>
    <w:rsid w:val="7BC02ECA"/>
    <w:rsid w:val="7BCD38B4"/>
    <w:rsid w:val="7BD50445"/>
    <w:rsid w:val="7C0E7008"/>
    <w:rsid w:val="7C2223F6"/>
    <w:rsid w:val="7C26369C"/>
    <w:rsid w:val="7C5671B7"/>
    <w:rsid w:val="7C9E5A24"/>
    <w:rsid w:val="7CAC00CB"/>
    <w:rsid w:val="7CC82D5C"/>
    <w:rsid w:val="7CC86FD2"/>
    <w:rsid w:val="7CDE5FED"/>
    <w:rsid w:val="7D156487"/>
    <w:rsid w:val="7D18153F"/>
    <w:rsid w:val="7D2B247E"/>
    <w:rsid w:val="7D3A532C"/>
    <w:rsid w:val="7D4B0109"/>
    <w:rsid w:val="7D575412"/>
    <w:rsid w:val="7D62117D"/>
    <w:rsid w:val="7D764B27"/>
    <w:rsid w:val="7D833A66"/>
    <w:rsid w:val="7DA93378"/>
    <w:rsid w:val="7DB54254"/>
    <w:rsid w:val="7DDD3E14"/>
    <w:rsid w:val="7E163F6B"/>
    <w:rsid w:val="7E3E1EF2"/>
    <w:rsid w:val="7E627F72"/>
    <w:rsid w:val="7E951513"/>
    <w:rsid w:val="7EA653FC"/>
    <w:rsid w:val="7EB9483C"/>
    <w:rsid w:val="7EF50482"/>
    <w:rsid w:val="7EF74FC9"/>
    <w:rsid w:val="7F056EE2"/>
    <w:rsid w:val="7F1B335C"/>
    <w:rsid w:val="7F37349D"/>
    <w:rsid w:val="7F4E5916"/>
    <w:rsid w:val="7F8001ED"/>
    <w:rsid w:val="7F882E38"/>
    <w:rsid w:val="7FB12063"/>
    <w:rsid w:val="7FBE2EA5"/>
    <w:rsid w:val="7FBF642C"/>
    <w:rsid w:val="7FCF64C5"/>
    <w:rsid w:val="7FDA1FDC"/>
    <w:rsid w:val="7FF31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99" w:name="toc 2"/>
    <w:lsdException w:qFormat="1" w:uiPriority="9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name="annotation text"/>
    <w:lsdException w:qFormat="1" w:unhideWhenUsed="0" w:uiPriority="0" w:name="header"/>
    <w:lsdException w:qFormat="1" w:uiPriority="99" w:semiHidden="0" w:name="footer"/>
    <w:lsdException w:uiPriority="99" w:name="index heading"/>
    <w:lsdException w:qFormat="1" w:uiPriority="99" w:name="caption"/>
    <w:lsdException w:qFormat="1"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nhideWhenUsed="0" w:uiPriority="99" w:semiHidden="0" w:name="Table Subtle 2"/>
    <w:lsdException w:uiPriority="99" w:name="Table Web 1"/>
    <w:lsdException w:uiPriority="99" w:name="Table Web 2"/>
    <w:lsdException w:unhideWhenUsed="0" w:uiPriority="99" w:semiHidden="0" w:name="Table Web 3"/>
    <w:lsdException w:qFormat="1"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after="50" w:afterLines="5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qFormat/>
    <w:uiPriority w:val="0"/>
    <w:pPr>
      <w:numPr>
        <w:ilvl w:val="2"/>
      </w:numPr>
      <w:spacing w:before="120"/>
      <w:outlineLvl w:val="2"/>
    </w:pPr>
    <w:rPr>
      <w:sz w:val="24"/>
    </w:rPr>
  </w:style>
  <w:style w:type="paragraph" w:styleId="5">
    <w:name w:val="heading 4"/>
    <w:basedOn w:val="4"/>
    <w:next w:val="1"/>
    <w:unhideWhenUsed/>
    <w:qFormat/>
    <w:uiPriority w:val="9"/>
    <w:pPr>
      <w:ind w:left="1418" w:hanging="1418"/>
      <w:outlineLvl w:val="3"/>
    </w:pPr>
  </w:style>
  <w:style w:type="character" w:default="1" w:styleId="20">
    <w:name w:val="Default Paragraph Font"/>
    <w:semiHidden/>
    <w:unhideWhenUsed/>
    <w:qFormat/>
    <w:uiPriority w:val="1"/>
  </w:style>
  <w:style w:type="table" w:default="1" w:styleId="18">
    <w:name w:val="Normal Table"/>
    <w:semiHidden/>
    <w:unhideWhenUsed/>
    <w:uiPriority w:val="99"/>
    <w:tblPr>
      <w:tblCellMar>
        <w:top w:w="0" w:type="dxa"/>
        <w:left w:w="108" w:type="dxa"/>
        <w:bottom w:w="0" w:type="dxa"/>
        <w:right w:w="108" w:type="dxa"/>
      </w:tblCellMar>
    </w:tblPr>
  </w:style>
  <w:style w:type="paragraph" w:styleId="6">
    <w:name w:val="caption"/>
    <w:basedOn w:val="1"/>
    <w:next w:val="1"/>
    <w:semiHidden/>
    <w:unhideWhenUsed/>
    <w:qFormat/>
    <w:uiPriority w:val="99"/>
    <w:rPr>
      <w:rFonts w:ascii="Arial" w:hAnsi="Arial" w:eastAsia="黑体"/>
      <w:sz w:val="20"/>
    </w:rPr>
  </w:style>
  <w:style w:type="paragraph" w:styleId="7">
    <w:name w:val="annotation text"/>
    <w:basedOn w:val="1"/>
    <w:link w:val="40"/>
    <w:semiHidden/>
    <w:unhideWhenUsed/>
    <w:qFormat/>
    <w:uiPriority w:val="0"/>
  </w:style>
  <w:style w:type="paragraph" w:styleId="8">
    <w:name w:val="Body Text"/>
    <w:basedOn w:val="1"/>
    <w:qFormat/>
    <w:uiPriority w:val="0"/>
    <w:pPr>
      <w:spacing w:after="120"/>
    </w:pPr>
  </w:style>
  <w:style w:type="paragraph" w:styleId="9">
    <w:name w:val="toc 3"/>
    <w:basedOn w:val="1"/>
    <w:next w:val="1"/>
    <w:unhideWhenUsed/>
    <w:qFormat/>
    <w:uiPriority w:val="99"/>
    <w:pPr>
      <w:adjustRightInd w:val="0"/>
      <w:ind w:left="1282" w:leftChars="400" w:hanging="442" w:hangingChars="200"/>
    </w:pPr>
    <w:rPr>
      <w:b/>
      <w:i/>
      <w:sz w:val="20"/>
    </w:rPr>
  </w:style>
  <w:style w:type="paragraph" w:styleId="10">
    <w:name w:val="Balloon Text"/>
    <w:basedOn w:val="1"/>
    <w:link w:val="29"/>
    <w:semiHidden/>
    <w:unhideWhenUsed/>
    <w:qFormat/>
    <w:uiPriority w:val="99"/>
    <w:pPr>
      <w:spacing w:before="0" w:after="0"/>
    </w:pPr>
    <w:rPr>
      <w:sz w:val="18"/>
      <w:szCs w:val="18"/>
    </w:rPr>
  </w:style>
  <w:style w:type="paragraph" w:styleId="11">
    <w:name w:val="footer"/>
    <w:basedOn w:val="1"/>
    <w:unhideWhenUsed/>
    <w:qFormat/>
    <w:uiPriority w:val="99"/>
    <w:pPr>
      <w:tabs>
        <w:tab w:val="center" w:pos="4153"/>
        <w:tab w:val="right" w:pos="8306"/>
      </w:tabs>
      <w:snapToGrid w:val="0"/>
      <w:jc w:val="left"/>
    </w:pPr>
    <w:rPr>
      <w:sz w:val="18"/>
      <w:szCs w:val="18"/>
    </w:rPr>
  </w:style>
  <w:style w:type="paragraph" w:styleId="12">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pPr>
      <w:tabs>
        <w:tab w:val="decimal" w:pos="0"/>
        <w:tab w:val="right" w:pos="9660"/>
      </w:tabs>
      <w:ind w:right="420" w:rightChars="200"/>
    </w:pPr>
    <w:rPr>
      <w:rFonts w:eastAsiaTheme="minorEastAsia"/>
      <w:b/>
      <w:bCs/>
      <w:iCs/>
    </w:rPr>
  </w:style>
  <w:style w:type="paragraph" w:styleId="14">
    <w:name w:val="table of figures"/>
    <w:basedOn w:val="1"/>
    <w:next w:val="1"/>
    <w:semiHidden/>
    <w:unhideWhenUsed/>
    <w:qFormat/>
    <w:uiPriority w:val="99"/>
    <w:pPr>
      <w:ind w:left="200" w:leftChars="200" w:hanging="200" w:hangingChars="200"/>
    </w:pPr>
  </w:style>
  <w:style w:type="paragraph" w:styleId="15">
    <w:name w:val="toc 2"/>
    <w:basedOn w:val="1"/>
    <w:next w:val="1"/>
    <w:semiHidden/>
    <w:unhideWhenUsed/>
    <w:qFormat/>
    <w:uiPriority w:val="99"/>
    <w:pPr>
      <w:tabs>
        <w:tab w:val="right" w:pos="420"/>
      </w:tabs>
      <w:ind w:left="862" w:leftChars="200" w:hanging="442" w:hangingChars="200"/>
      <w:jc w:val="left"/>
    </w:pPr>
    <w:rPr>
      <w:b/>
      <w:i/>
      <w:sz w:val="20"/>
    </w:rPr>
  </w:style>
  <w:style w:type="paragraph" w:styleId="16">
    <w:name w:val="Normal (Web)"/>
    <w:basedOn w:val="1"/>
    <w:semiHidden/>
    <w:unhideWhenUsed/>
    <w:qFormat/>
    <w:uiPriority w:val="99"/>
    <w:pPr>
      <w:spacing w:before="0" w:beforeAutospacing="1" w:after="0" w:afterAutospacing="1"/>
      <w:jc w:val="left"/>
    </w:pPr>
    <w:rPr>
      <w:kern w:val="0"/>
      <w:sz w:val="24"/>
    </w:rPr>
  </w:style>
  <w:style w:type="paragraph" w:styleId="17">
    <w:name w:val="annotation subject"/>
    <w:basedOn w:val="7"/>
    <w:next w:val="7"/>
    <w:link w:val="41"/>
    <w:semiHidden/>
    <w:unhideWhenUsed/>
    <w:qFormat/>
    <w:uiPriority w:val="99"/>
    <w:pPr>
      <w:jc w:val="left"/>
    </w:pPr>
    <w:rPr>
      <w:b/>
      <w:bCs/>
    </w:rPr>
  </w:style>
  <w:style w:type="table" w:styleId="19">
    <w:name w:val="Table Grid"/>
    <w:basedOn w:val="18"/>
    <w:qFormat/>
    <w:uiPriority w:val="9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basedOn w:val="20"/>
    <w:qFormat/>
    <w:uiPriority w:val="99"/>
    <w:rPr>
      <w:b/>
      <w:sz w:val="19"/>
      <w:szCs w:val="19"/>
    </w:rPr>
  </w:style>
  <w:style w:type="character" w:styleId="22">
    <w:name w:val="FollowedHyperlink"/>
    <w:basedOn w:val="20"/>
    <w:semiHidden/>
    <w:unhideWhenUsed/>
    <w:qFormat/>
    <w:uiPriority w:val="99"/>
    <w:rPr>
      <w:color w:val="409EFF"/>
      <w:u w:val="none"/>
    </w:rPr>
  </w:style>
  <w:style w:type="character" w:styleId="23">
    <w:name w:val="HTML Definition"/>
    <w:basedOn w:val="20"/>
    <w:semiHidden/>
    <w:unhideWhenUsed/>
    <w:qFormat/>
    <w:uiPriority w:val="99"/>
    <w:rPr>
      <w:i/>
    </w:rPr>
  </w:style>
  <w:style w:type="character" w:styleId="24">
    <w:name w:val="Hyperlink"/>
    <w:basedOn w:val="20"/>
    <w:unhideWhenUsed/>
    <w:qFormat/>
    <w:uiPriority w:val="99"/>
    <w:rPr>
      <w:color w:val="0000FF" w:themeColor="hyperlink"/>
      <w:u w:val="single"/>
      <w14:textFill>
        <w14:solidFill>
          <w14:schemeClr w14:val="hlink"/>
        </w14:solidFill>
      </w14:textFill>
    </w:rPr>
  </w:style>
  <w:style w:type="character" w:styleId="25">
    <w:name w:val="HTML Code"/>
    <w:basedOn w:val="20"/>
    <w:semiHidden/>
    <w:unhideWhenUsed/>
    <w:qFormat/>
    <w:uiPriority w:val="99"/>
    <w:rPr>
      <w:rFonts w:hint="default" w:ascii="Consolas" w:hAnsi="Consolas" w:eastAsia="Consolas" w:cs="Consolas"/>
      <w:color w:val="C7254E"/>
      <w:sz w:val="21"/>
      <w:szCs w:val="21"/>
      <w:shd w:val="clear" w:color="auto" w:fill="F9F2F4"/>
    </w:rPr>
  </w:style>
  <w:style w:type="character" w:styleId="26">
    <w:name w:val="annotation reference"/>
    <w:basedOn w:val="20"/>
    <w:semiHidden/>
    <w:unhideWhenUsed/>
    <w:qFormat/>
    <w:uiPriority w:val="99"/>
    <w:rPr>
      <w:sz w:val="21"/>
      <w:szCs w:val="21"/>
    </w:rPr>
  </w:style>
  <w:style w:type="character" w:styleId="27">
    <w:name w:val="HTML Keyboard"/>
    <w:basedOn w:val="20"/>
    <w:semiHidden/>
    <w:unhideWhenUsed/>
    <w:qFormat/>
    <w:uiPriority w:val="99"/>
    <w:rPr>
      <w:rFonts w:ascii="Consolas" w:hAnsi="Consolas" w:eastAsia="Consolas" w:cs="Consolas"/>
      <w:color w:val="FFFFFF"/>
      <w:sz w:val="21"/>
      <w:szCs w:val="21"/>
      <w:shd w:val="clear" w:color="auto" w:fill="333333"/>
    </w:rPr>
  </w:style>
  <w:style w:type="character" w:styleId="28">
    <w:name w:val="HTML Sample"/>
    <w:basedOn w:val="20"/>
    <w:semiHidden/>
    <w:unhideWhenUsed/>
    <w:qFormat/>
    <w:uiPriority w:val="99"/>
    <w:rPr>
      <w:rFonts w:hint="default" w:ascii="Consolas" w:hAnsi="Consolas" w:eastAsia="Consolas" w:cs="Consolas"/>
      <w:sz w:val="21"/>
      <w:szCs w:val="21"/>
    </w:rPr>
  </w:style>
  <w:style w:type="character" w:customStyle="1" w:styleId="29">
    <w:name w:val="批注框文本 字符"/>
    <w:basedOn w:val="20"/>
    <w:link w:val="10"/>
    <w:semiHidden/>
    <w:qFormat/>
    <w:uiPriority w:val="99"/>
    <w:rPr>
      <w:kern w:val="2"/>
      <w:sz w:val="18"/>
      <w:szCs w:val="18"/>
    </w:rPr>
  </w:style>
  <w:style w:type="paragraph" w:customStyle="1" w:styleId="30">
    <w:name w:val="YJ-Observation"/>
    <w:basedOn w:val="31"/>
    <w:qFormat/>
    <w:uiPriority w:val="0"/>
    <w:pPr>
      <w:numPr>
        <w:ilvl w:val="0"/>
        <w:numId w:val="2"/>
      </w:numPr>
      <w:tabs>
        <w:tab w:val="left" w:pos="0"/>
        <w:tab w:val="left" w:pos="4820"/>
      </w:tabs>
    </w:pPr>
  </w:style>
  <w:style w:type="paragraph" w:customStyle="1" w:styleId="31">
    <w:name w:val="YJ-Proposal"/>
    <w:basedOn w:val="1"/>
    <w:qFormat/>
    <w:uiPriority w:val="0"/>
    <w:pPr>
      <w:numPr>
        <w:ilvl w:val="0"/>
        <w:numId w:val="3"/>
      </w:numPr>
      <w:tabs>
        <w:tab w:val="left" w:pos="0"/>
        <w:tab w:val="clear" w:pos="1417"/>
      </w:tabs>
      <w:ind w:left="0"/>
    </w:pPr>
    <w:rPr>
      <w:rFonts w:eastAsiaTheme="minorEastAsia"/>
      <w:b/>
      <w:bCs/>
      <w:szCs w:val="21"/>
      <w:lang w:val="en-GB" w:eastAsia="en-US"/>
    </w:rPr>
  </w:style>
  <w:style w:type="paragraph" w:customStyle="1" w:styleId="32">
    <w:name w:val="sub-proposal"/>
    <w:basedOn w:val="31"/>
    <w:next w:val="1"/>
    <w:qFormat/>
    <w:uiPriority w:val="0"/>
    <w:pPr>
      <w:numPr>
        <w:numId w:val="4"/>
      </w:numPr>
      <w:tabs>
        <w:tab w:val="left" w:pos="420"/>
        <w:tab w:val="left" w:pos="807"/>
      </w:tabs>
      <w:ind w:left="862" w:leftChars="200" w:hanging="442" w:hangingChars="200"/>
    </w:pPr>
  </w:style>
  <w:style w:type="paragraph" w:customStyle="1" w:styleId="33">
    <w:name w:val="sub-observation"/>
    <w:basedOn w:val="32"/>
    <w:next w:val="1"/>
    <w:qFormat/>
    <w:uiPriority w:val="0"/>
  </w:style>
  <w:style w:type="paragraph" w:customStyle="1" w:styleId="34">
    <w:name w:val="3rd level proposal"/>
    <w:basedOn w:val="32"/>
    <w:next w:val="1"/>
    <w:qFormat/>
    <w:uiPriority w:val="0"/>
    <w:pPr>
      <w:numPr>
        <w:ilvl w:val="0"/>
        <w:numId w:val="5"/>
      </w:numPr>
      <w:ind w:left="1282" w:leftChars="400" w:hanging="442"/>
    </w:pPr>
  </w:style>
  <w:style w:type="paragraph" w:customStyle="1" w:styleId="35">
    <w:name w:val="3rd level observation"/>
    <w:basedOn w:val="33"/>
    <w:qFormat/>
    <w:uiPriority w:val="0"/>
    <w:pPr>
      <w:numPr>
        <w:ilvl w:val="0"/>
        <w:numId w:val="6"/>
      </w:numPr>
      <w:ind w:left="1282" w:leftChars="400" w:hanging="442"/>
    </w:pPr>
  </w:style>
  <w:style w:type="paragraph" w:customStyle="1" w:styleId="36">
    <w:name w:val="References"/>
    <w:basedOn w:val="1"/>
    <w:qFormat/>
    <w:uiPriority w:val="0"/>
    <w:pPr>
      <w:numPr>
        <w:ilvl w:val="0"/>
        <w:numId w:val="7"/>
      </w:numPr>
      <w:spacing w:after="60"/>
    </w:pPr>
    <w:rPr>
      <w:szCs w:val="16"/>
    </w:rPr>
  </w:style>
  <w:style w:type="paragraph" w:styleId="37">
    <w:name w:val="List Paragraph"/>
    <w:basedOn w:val="1"/>
    <w:qFormat/>
    <w:uiPriority w:val="34"/>
    <w:pPr>
      <w:spacing w:beforeLines="0" w:after="0"/>
      <w:ind w:left="720"/>
      <w:contextualSpacing/>
    </w:pPr>
    <w:rPr>
      <w:rFonts w:eastAsia="Times New Roman"/>
      <w:sz w:val="24"/>
      <w:szCs w:val="24"/>
    </w:rPr>
  </w:style>
  <w:style w:type="paragraph" w:customStyle="1" w:styleId="38">
    <w:name w:val="样式1"/>
    <w:basedOn w:val="1"/>
    <w:qFormat/>
    <w:uiPriority w:val="0"/>
  </w:style>
  <w:style w:type="paragraph" w:customStyle="1" w:styleId="39">
    <w:name w:val="样式2"/>
    <w:basedOn w:val="1"/>
    <w:qFormat/>
    <w:uiPriority w:val="0"/>
  </w:style>
  <w:style w:type="character" w:customStyle="1" w:styleId="40">
    <w:name w:val="批注文字 字符"/>
    <w:basedOn w:val="20"/>
    <w:link w:val="7"/>
    <w:semiHidden/>
    <w:qFormat/>
    <w:uiPriority w:val="0"/>
    <w:rPr>
      <w:kern w:val="2"/>
      <w:sz w:val="21"/>
    </w:rPr>
  </w:style>
  <w:style w:type="character" w:customStyle="1" w:styleId="41">
    <w:name w:val="批注主题 字符"/>
    <w:basedOn w:val="40"/>
    <w:link w:val="17"/>
    <w:semiHidden/>
    <w:qFormat/>
    <w:uiPriority w:val="99"/>
    <w:rPr>
      <w:b/>
      <w:bCs/>
      <w:kern w:val="2"/>
      <w:sz w:val="21"/>
    </w:rPr>
  </w:style>
  <w:style w:type="character" w:customStyle="1" w:styleId="42">
    <w:name w:val="active1"/>
    <w:basedOn w:val="20"/>
    <w:qFormat/>
    <w:uiPriority w:val="0"/>
    <w:rPr>
      <w:color w:val="FFFFFF"/>
      <w:shd w:val="clear" w:color="auto" w:fill="006DCC"/>
    </w:rPr>
  </w:style>
  <w:style w:type="character" w:customStyle="1" w:styleId="43">
    <w:name w:val="old"/>
    <w:basedOn w:val="20"/>
    <w:qFormat/>
    <w:uiPriority w:val="0"/>
    <w:rPr>
      <w:color w:val="999999"/>
    </w:rPr>
  </w:style>
  <w:style w:type="character" w:customStyle="1" w:styleId="44">
    <w:name w:val="hover16"/>
    <w:basedOn w:val="20"/>
    <w:qFormat/>
    <w:uiPriority w:val="0"/>
    <w:rPr>
      <w:shd w:val="clear" w:color="auto" w:fill="EEEEEE"/>
    </w:rPr>
  </w:style>
  <w:style w:type="character" w:customStyle="1" w:styleId="45">
    <w:name w:val="badge57"/>
    <w:basedOn w:val="20"/>
    <w:qFormat/>
    <w:uiPriority w:val="0"/>
    <w:rPr>
      <w:b/>
      <w:color w:val="FFFFFF"/>
      <w:sz w:val="24"/>
      <w:szCs w:val="24"/>
      <w:shd w:val="clear" w:color="auto" w:fill="001F3F"/>
    </w:rPr>
  </w:style>
  <w:style w:type="character" w:customStyle="1" w:styleId="46">
    <w:name w:val="badge56"/>
    <w:basedOn w:val="20"/>
    <w:qFormat/>
    <w:uiPriority w:val="0"/>
    <w:rPr>
      <w:b/>
      <w:color w:val="FFFFFF"/>
      <w:sz w:val="24"/>
      <w:szCs w:val="24"/>
      <w:shd w:val="clear" w:color="auto" w:fill="001F3F"/>
    </w:rPr>
  </w:style>
  <w:style w:type="character" w:customStyle="1" w:styleId="47">
    <w:name w:val="badge58"/>
    <w:basedOn w:val="20"/>
    <w:qFormat/>
    <w:uiPriority w:val="0"/>
    <w:rPr>
      <w:b/>
      <w:color w:val="FFFFFF"/>
      <w:sz w:val="24"/>
      <w:szCs w:val="24"/>
      <w:shd w:val="clear" w:color="auto" w:fill="001F3F"/>
    </w:rPr>
  </w:style>
  <w:style w:type="character" w:customStyle="1" w:styleId="48">
    <w:name w:val="active3"/>
    <w:basedOn w:val="20"/>
    <w:qFormat/>
    <w:uiPriority w:val="0"/>
    <w:rPr>
      <w:color w:val="FFFFFF"/>
      <w:shd w:val="clear" w:color="auto" w:fill="006DCC"/>
    </w:rPr>
  </w:style>
  <w:style w:type="character" w:customStyle="1" w:styleId="49">
    <w:name w:val="badge55"/>
    <w:basedOn w:val="20"/>
    <w:qFormat/>
    <w:uiPriority w:val="0"/>
    <w:rPr>
      <w:b/>
      <w:color w:val="FFFFFF"/>
      <w:sz w:val="24"/>
      <w:szCs w:val="24"/>
      <w:shd w:val="clear" w:color="auto" w:fill="001F3F"/>
    </w:rPr>
  </w:style>
  <w:style w:type="character" w:customStyle="1" w:styleId="50">
    <w:name w:val="hover15"/>
    <w:basedOn w:val="20"/>
    <w:qFormat/>
    <w:uiPriority w:val="0"/>
    <w:rPr>
      <w:shd w:val="clear" w:color="auto" w:fill="EEEEEE"/>
    </w:rPr>
  </w:style>
  <w:style w:type="character" w:customStyle="1" w:styleId="51">
    <w:name w:val="active"/>
    <w:basedOn w:val="20"/>
    <w:qFormat/>
    <w:uiPriority w:val="0"/>
    <w:rPr>
      <w:color w:val="FFFFFF"/>
      <w:shd w:val="clear" w:color="auto" w:fill="006DCC"/>
    </w:rPr>
  </w:style>
  <w:style w:type="paragraph" w:customStyle="1" w:styleId="52">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53">
    <w:name w:val="TAC"/>
    <w:basedOn w:val="54"/>
    <w:qFormat/>
    <w:uiPriority w:val="0"/>
    <w:pPr>
      <w:jc w:val="center"/>
    </w:pPr>
  </w:style>
  <w:style w:type="paragraph" w:customStyle="1" w:styleId="54">
    <w:name w:val="TAL"/>
    <w:basedOn w:val="1"/>
    <w:qFormat/>
    <w:uiPriority w:val="0"/>
    <w:pPr>
      <w:keepNext/>
      <w:keepLines/>
    </w:pPr>
    <w:rPr>
      <w:rFonts w:ascii="Arial" w:hAnsi="Arial"/>
      <w:sz w:val="18"/>
    </w:rPr>
  </w:style>
  <w:style w:type="paragraph" w:customStyle="1" w:styleId="55">
    <w:name w:val="TH"/>
    <w:basedOn w:val="1"/>
    <w:qFormat/>
    <w:uiPriority w:val="0"/>
    <w:pPr>
      <w:keepNext/>
      <w:keepLines/>
      <w:spacing w:before="60"/>
      <w:jc w:val="center"/>
    </w:pPr>
    <w:rPr>
      <w:rFonts w:ascii="Arial" w:hAnsi="Arial"/>
      <w:b/>
      <w:lang w:val="zh-CN"/>
    </w:rPr>
  </w:style>
  <w:style w:type="paragraph" w:customStyle="1" w:styleId="56">
    <w:name w:val="TAH"/>
    <w:basedOn w:val="53"/>
    <w:qFormat/>
    <w:uiPriority w:val="0"/>
    <w:rPr>
      <w:b/>
    </w:rPr>
  </w:style>
  <w:style w:type="paragraph" w:customStyle="1" w:styleId="57">
    <w:name w:val="Spec Text"/>
    <w:qFormat/>
    <w:uiPriority w:val="0"/>
    <w:pPr>
      <w:numPr>
        <w:ilvl w:val="0"/>
        <w:numId w:val="8"/>
      </w:numPr>
      <w:spacing w:before="120" w:line="360" w:lineRule="auto"/>
    </w:pPr>
    <w:rPr>
      <w:rFonts w:ascii="Times New Roman" w:hAnsi="Times New Roman" w:eastAsia="宋体" w:cs="Arial"/>
      <w:lang w:val="en-US" w:eastAsia="zh-CN" w:bidi="ar-SA"/>
    </w:rPr>
  </w:style>
</w:styles>
</file>

<file path=word/_rels/document.xml.rels><?xml version="1.0" encoding="UTF-8" standalone="yes"?>
<Relationships xmlns="http://schemas.openxmlformats.org/package/2006/relationships"><Relationship Id="rId99" Type="http://schemas.openxmlformats.org/officeDocument/2006/relationships/customXml" Target="../customXml/item1.xml"/><Relationship Id="rId98" Type="http://schemas.openxmlformats.org/officeDocument/2006/relationships/image" Target="media/image46.emf"/><Relationship Id="rId97" Type="http://schemas.openxmlformats.org/officeDocument/2006/relationships/image" Target="media/image45.emf"/><Relationship Id="rId96" Type="http://schemas.openxmlformats.org/officeDocument/2006/relationships/image" Target="media/image44.emf"/><Relationship Id="rId95" Type="http://schemas.openxmlformats.org/officeDocument/2006/relationships/image" Target="media/image43.emf"/><Relationship Id="rId94" Type="http://schemas.openxmlformats.org/officeDocument/2006/relationships/image" Target="media/image42.emf"/><Relationship Id="rId93" Type="http://schemas.openxmlformats.org/officeDocument/2006/relationships/image" Target="media/image41.emf"/><Relationship Id="rId92" Type="http://schemas.openxmlformats.org/officeDocument/2006/relationships/image" Target="media/image40.emf"/><Relationship Id="rId91" Type="http://schemas.openxmlformats.org/officeDocument/2006/relationships/image" Target="media/image39.emf"/><Relationship Id="rId90" Type="http://schemas.openxmlformats.org/officeDocument/2006/relationships/image" Target="media/image38.png"/><Relationship Id="rId9" Type="http://schemas.openxmlformats.org/officeDocument/2006/relationships/theme" Target="theme/theme1.xml"/><Relationship Id="rId89" Type="http://schemas.openxmlformats.org/officeDocument/2006/relationships/image" Target="media/image37.png"/><Relationship Id="rId88" Type="http://schemas.openxmlformats.org/officeDocument/2006/relationships/image" Target="media/image36.emf"/><Relationship Id="rId87" Type="http://schemas.openxmlformats.org/officeDocument/2006/relationships/image" Target="media/image35.emf"/><Relationship Id="rId86" Type="http://schemas.openxmlformats.org/officeDocument/2006/relationships/image" Target="media/image34.png"/><Relationship Id="rId85" Type="http://schemas.openxmlformats.org/officeDocument/2006/relationships/image" Target="media/image33.wmf"/><Relationship Id="rId84" Type="http://schemas.openxmlformats.org/officeDocument/2006/relationships/oleObject" Target="embeddings/oleObject41.bin"/><Relationship Id="rId83" Type="http://schemas.openxmlformats.org/officeDocument/2006/relationships/oleObject" Target="embeddings/oleObject40.bin"/><Relationship Id="rId82" Type="http://schemas.openxmlformats.org/officeDocument/2006/relationships/oleObject" Target="embeddings/oleObject39.bin"/><Relationship Id="rId81" Type="http://schemas.openxmlformats.org/officeDocument/2006/relationships/image" Target="media/image32.wmf"/><Relationship Id="rId80" Type="http://schemas.openxmlformats.org/officeDocument/2006/relationships/oleObject" Target="embeddings/oleObject38.bin"/><Relationship Id="rId8" Type="http://schemas.openxmlformats.org/officeDocument/2006/relationships/footer" Target="footer3.xml"/><Relationship Id="rId79" Type="http://schemas.openxmlformats.org/officeDocument/2006/relationships/image" Target="media/image31.wmf"/><Relationship Id="rId78" Type="http://schemas.openxmlformats.org/officeDocument/2006/relationships/oleObject" Target="embeddings/oleObject37.bin"/><Relationship Id="rId77" Type="http://schemas.openxmlformats.org/officeDocument/2006/relationships/image" Target="media/image30.wmf"/><Relationship Id="rId76" Type="http://schemas.openxmlformats.org/officeDocument/2006/relationships/oleObject" Target="embeddings/oleObject36.bin"/><Relationship Id="rId75" Type="http://schemas.openxmlformats.org/officeDocument/2006/relationships/chart" Target="charts/chart2.xml"/><Relationship Id="rId74" Type="http://schemas.openxmlformats.org/officeDocument/2006/relationships/image" Target="media/image29.emf"/><Relationship Id="rId73" Type="http://schemas.openxmlformats.org/officeDocument/2006/relationships/image" Target="media/image28.emf"/><Relationship Id="rId72" Type="http://schemas.openxmlformats.org/officeDocument/2006/relationships/image" Target="media/image27.emf"/><Relationship Id="rId71" Type="http://schemas.openxmlformats.org/officeDocument/2006/relationships/image" Target="media/image26.emf"/><Relationship Id="rId70" Type="http://schemas.openxmlformats.org/officeDocument/2006/relationships/image" Target="media/image25.emf"/><Relationship Id="rId7" Type="http://schemas.openxmlformats.org/officeDocument/2006/relationships/footer" Target="footer2.xml"/><Relationship Id="rId69" Type="http://schemas.openxmlformats.org/officeDocument/2006/relationships/image" Target="media/image24.emf"/><Relationship Id="rId68" Type="http://schemas.openxmlformats.org/officeDocument/2006/relationships/image" Target="media/image23.emf"/><Relationship Id="rId67" Type="http://schemas.openxmlformats.org/officeDocument/2006/relationships/image" Target="media/image22.emf"/><Relationship Id="rId66" Type="http://schemas.openxmlformats.org/officeDocument/2006/relationships/image" Target="media/image21.png"/><Relationship Id="rId65" Type="http://schemas.openxmlformats.org/officeDocument/2006/relationships/image" Target="media/image20.jpeg"/><Relationship Id="rId64" Type="http://schemas.openxmlformats.org/officeDocument/2006/relationships/image" Target="media/image19.wmf"/><Relationship Id="rId63" Type="http://schemas.openxmlformats.org/officeDocument/2006/relationships/oleObject" Target="embeddings/oleObject35.bin"/><Relationship Id="rId62" Type="http://schemas.openxmlformats.org/officeDocument/2006/relationships/image" Target="media/image18.wmf"/><Relationship Id="rId61" Type="http://schemas.openxmlformats.org/officeDocument/2006/relationships/oleObject" Target="embeddings/oleObject34.bin"/><Relationship Id="rId60" Type="http://schemas.openxmlformats.org/officeDocument/2006/relationships/image" Target="media/image17.wmf"/><Relationship Id="rId6" Type="http://schemas.openxmlformats.org/officeDocument/2006/relationships/footer" Target="footer1.xml"/><Relationship Id="rId59" Type="http://schemas.openxmlformats.org/officeDocument/2006/relationships/oleObject" Target="embeddings/oleObject33.bin"/><Relationship Id="rId58" Type="http://schemas.openxmlformats.org/officeDocument/2006/relationships/oleObject" Target="embeddings/oleObject32.bin"/><Relationship Id="rId57" Type="http://schemas.openxmlformats.org/officeDocument/2006/relationships/oleObject" Target="embeddings/oleObject31.bin"/><Relationship Id="rId56" Type="http://schemas.openxmlformats.org/officeDocument/2006/relationships/oleObject" Target="embeddings/oleObject30.bin"/><Relationship Id="rId55" Type="http://schemas.openxmlformats.org/officeDocument/2006/relationships/oleObject" Target="embeddings/oleObject29.bin"/><Relationship Id="rId54" Type="http://schemas.openxmlformats.org/officeDocument/2006/relationships/oleObject" Target="embeddings/oleObject28.bin"/><Relationship Id="rId53" Type="http://schemas.openxmlformats.org/officeDocument/2006/relationships/oleObject" Target="embeddings/oleObject27.bin"/><Relationship Id="rId52" Type="http://schemas.openxmlformats.org/officeDocument/2006/relationships/oleObject" Target="embeddings/oleObject26.bin"/><Relationship Id="rId51" Type="http://schemas.openxmlformats.org/officeDocument/2006/relationships/oleObject" Target="embeddings/oleObject25.bin"/><Relationship Id="rId50" Type="http://schemas.openxmlformats.org/officeDocument/2006/relationships/oleObject" Target="embeddings/oleObject24.bin"/><Relationship Id="rId5" Type="http://schemas.openxmlformats.org/officeDocument/2006/relationships/header" Target="header3.xml"/><Relationship Id="rId49" Type="http://schemas.openxmlformats.org/officeDocument/2006/relationships/oleObject" Target="embeddings/oleObject23.bin"/><Relationship Id="rId48" Type="http://schemas.openxmlformats.org/officeDocument/2006/relationships/oleObject" Target="embeddings/oleObject22.bin"/><Relationship Id="rId47" Type="http://schemas.openxmlformats.org/officeDocument/2006/relationships/oleObject" Target="embeddings/oleObject21.bin"/><Relationship Id="rId46" Type="http://schemas.openxmlformats.org/officeDocument/2006/relationships/image" Target="media/image16.wmf"/><Relationship Id="rId45" Type="http://schemas.openxmlformats.org/officeDocument/2006/relationships/oleObject" Target="embeddings/oleObject20.bin"/><Relationship Id="rId44" Type="http://schemas.openxmlformats.org/officeDocument/2006/relationships/image" Target="media/image15.wmf"/><Relationship Id="rId43" Type="http://schemas.openxmlformats.org/officeDocument/2006/relationships/oleObject" Target="embeddings/oleObject19.bin"/><Relationship Id="rId42" Type="http://schemas.openxmlformats.org/officeDocument/2006/relationships/oleObject" Target="embeddings/oleObject18.bin"/><Relationship Id="rId41" Type="http://schemas.openxmlformats.org/officeDocument/2006/relationships/oleObject" Target="embeddings/oleObject17.bin"/><Relationship Id="rId40" Type="http://schemas.openxmlformats.org/officeDocument/2006/relationships/image" Target="media/image14.wmf"/><Relationship Id="rId4" Type="http://schemas.openxmlformats.org/officeDocument/2006/relationships/header" Target="header2.xml"/><Relationship Id="rId39" Type="http://schemas.openxmlformats.org/officeDocument/2006/relationships/oleObject" Target="embeddings/oleObject16.bin"/><Relationship Id="rId38" Type="http://schemas.openxmlformats.org/officeDocument/2006/relationships/image" Target="media/image13.wmf"/><Relationship Id="rId37" Type="http://schemas.openxmlformats.org/officeDocument/2006/relationships/oleObject" Target="embeddings/oleObject15.bin"/><Relationship Id="rId36" Type="http://schemas.openxmlformats.org/officeDocument/2006/relationships/oleObject" Target="embeddings/oleObject14.bin"/><Relationship Id="rId35" Type="http://schemas.openxmlformats.org/officeDocument/2006/relationships/oleObject" Target="embeddings/oleObject13.bin"/><Relationship Id="rId34" Type="http://schemas.openxmlformats.org/officeDocument/2006/relationships/image" Target="media/image12.wmf"/><Relationship Id="rId33" Type="http://schemas.openxmlformats.org/officeDocument/2006/relationships/oleObject" Target="embeddings/oleObject12.bin"/><Relationship Id="rId32" Type="http://schemas.openxmlformats.org/officeDocument/2006/relationships/image" Target="media/image11.wmf"/><Relationship Id="rId31" Type="http://schemas.openxmlformats.org/officeDocument/2006/relationships/oleObject" Target="embeddings/oleObject11.bin"/><Relationship Id="rId30" Type="http://schemas.openxmlformats.org/officeDocument/2006/relationships/image" Target="media/image10.wmf"/><Relationship Id="rId3" Type="http://schemas.openxmlformats.org/officeDocument/2006/relationships/header" Target="header1.xml"/><Relationship Id="rId29" Type="http://schemas.openxmlformats.org/officeDocument/2006/relationships/oleObject" Target="embeddings/oleObject10.bin"/><Relationship Id="rId28" Type="http://schemas.openxmlformats.org/officeDocument/2006/relationships/image" Target="media/image9.wmf"/><Relationship Id="rId27" Type="http://schemas.openxmlformats.org/officeDocument/2006/relationships/oleObject" Target="embeddings/oleObject9.bin"/><Relationship Id="rId26" Type="http://schemas.openxmlformats.org/officeDocument/2006/relationships/image" Target="media/image8.wmf"/><Relationship Id="rId25" Type="http://schemas.openxmlformats.org/officeDocument/2006/relationships/oleObject" Target="embeddings/oleObject8.bin"/><Relationship Id="rId24" Type="http://schemas.openxmlformats.org/officeDocument/2006/relationships/image" Target="media/image7.wmf"/><Relationship Id="rId23" Type="http://schemas.openxmlformats.org/officeDocument/2006/relationships/oleObject" Target="embeddings/oleObject7.bin"/><Relationship Id="rId22" Type="http://schemas.openxmlformats.org/officeDocument/2006/relationships/image" Target="media/image6.wmf"/><Relationship Id="rId21" Type="http://schemas.openxmlformats.org/officeDocument/2006/relationships/oleObject" Target="embeddings/oleObject6.bin"/><Relationship Id="rId20" Type="http://schemas.openxmlformats.org/officeDocument/2006/relationships/image" Target="media/image5.wmf"/><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image" Target="media/image4.wmf"/><Relationship Id="rId17" Type="http://schemas.openxmlformats.org/officeDocument/2006/relationships/oleObject" Target="embeddings/oleObject4.bin"/><Relationship Id="rId16" Type="http://schemas.openxmlformats.org/officeDocument/2006/relationships/image" Target="media/image3.wmf"/><Relationship Id="rId15" Type="http://schemas.openxmlformats.org/officeDocument/2006/relationships/oleObject" Target="embeddings/oleObject3.bin"/><Relationship Id="rId14" Type="http://schemas.openxmlformats.org/officeDocument/2006/relationships/image" Target="media/image2.wmf"/><Relationship Id="rId13" Type="http://schemas.openxmlformats.org/officeDocument/2006/relationships/oleObject" Target="embeddings/oleObject2.bin"/><Relationship Id="rId12" Type="http://schemas.openxmlformats.org/officeDocument/2006/relationships/image" Target="media/image1.wmf"/><Relationship Id="rId11" Type="http://schemas.openxmlformats.org/officeDocument/2006/relationships/oleObject" Target="embeddings/oleObject1.bin"/><Relationship Id="rId102" Type="http://schemas.openxmlformats.org/officeDocument/2006/relationships/fontTable" Target="fontTable.xml"/><Relationship Id="rId101" Type="http://schemas.openxmlformats.org/officeDocument/2006/relationships/customXml" Target="../customXml/item2.xml"/><Relationship Id="rId100" Type="http://schemas.openxmlformats.org/officeDocument/2006/relationships/numbering" Target="numbering.xml"/><Relationship Id="rId10" Type="http://schemas.openxmlformats.org/officeDocument/2006/relationships/chart" Target="charts/chart1.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D:\network%20power%20saving\RAN1"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24037;&#20316;&#31807;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000" b="0" i="0" u="none" strike="noStrike" kern="1200" spc="0" baseline="0">
                <a:solidFill>
                  <a:schemeClr val="tx1"/>
                </a:solidFill>
                <a:latin typeface="+mn-lt"/>
                <a:ea typeface="+mn-ea"/>
                <a:cs typeface="+mn-cs"/>
              </a:defRPr>
            </a:pPr>
            <a:r>
              <a:rPr lang="en-US" altLang="zh-CN" sz="1000">
                <a:solidFill>
                  <a:schemeClr val="tx1"/>
                </a:solidFill>
              </a:rPr>
              <a:t>RU = 9%</a:t>
            </a:r>
            <a:endParaRPr lang="en-US" altLang="zh-CN" sz="1000">
              <a:solidFill>
                <a:schemeClr val="tx1"/>
              </a:solidFill>
            </a:endParaRPr>
          </a:p>
        </c:rich>
      </c:tx>
      <c:layout/>
      <c:overlay val="0"/>
      <c:spPr>
        <a:noFill/>
        <a:ln>
          <a:noFill/>
        </a:ln>
        <a:effectLst/>
      </c:spPr>
    </c:title>
    <c:autoTitleDeleted val="0"/>
    <c:plotArea>
      <c:layout/>
      <c:barChart>
        <c:barDir val="col"/>
        <c:grouping val="clustered"/>
        <c:varyColors val="0"/>
        <c:ser>
          <c:idx val="0"/>
          <c:order val="0"/>
          <c:tx>
            <c:strRef>
              <c:f>[NetworkingPS仿真数据_2022_TDD_DL_0.02M_0.01s_1000_64tx_32tx_16tx_8tx_4tx_20230213_RAN1_112.xlsx]plot!$C$48</c:f>
              <c:strCache>
                <c:ptCount val="1"/>
                <c:pt idx="0">
                  <c:v>UPT loss</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[NetworkingPS仿真数据_2022_TDD_DL_0.02M_0.01s_1000_64tx_32tx_16tx_8tx_4tx_20230213_RAN1_112.xlsx]plot!$D$47:$E$47</c:f>
              <c:strCache>
                <c:ptCount val="2"/>
                <c:pt idx="0">
                  <c:v>Single CSI</c:v>
                </c:pt>
                <c:pt idx="1">
                  <c:v>Mulit CSI</c:v>
                </c:pt>
              </c:strCache>
            </c:strRef>
          </c:cat>
          <c:val>
            <c:numRef>
              <c:f>[NetworkingPS仿真数据_2022_TDD_DL_0.02M_0.01s_1000_64tx_32tx_16tx_8tx_4tx_20230213_RAN1_112.xlsx]plot!$D$48:$E$48</c:f>
              <c:numCache>
                <c:formatCode>0.00%</c:formatCode>
                <c:ptCount val="2"/>
                <c:pt idx="0">
                  <c:v>0.0614</c:v>
                </c:pt>
                <c:pt idx="1">
                  <c:v>0.0139</c:v>
                </c:pt>
              </c:numCache>
            </c:numRef>
          </c:val>
        </c:ser>
        <c:ser>
          <c:idx val="1"/>
          <c:order val="1"/>
          <c:tx>
            <c:strRef>
              <c:f>[NetworkingPS仿真数据_2022_TDD_DL_0.02M_0.01s_1000_64tx_32tx_16tx_8tx_4tx_20230213_RAN1_112.xlsx]plot!$C$49</c:f>
              <c:strCache>
                <c:ptCount val="1"/>
                <c:pt idx="0">
                  <c:v>ESG</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[NetworkingPS仿真数据_2022_TDD_DL_0.02M_0.01s_1000_64tx_32tx_16tx_8tx_4tx_20230213_RAN1_112.xlsx]plot!$D$47:$E$47</c:f>
              <c:strCache>
                <c:ptCount val="2"/>
                <c:pt idx="0">
                  <c:v>Single CSI</c:v>
                </c:pt>
                <c:pt idx="1">
                  <c:v>Mulit CSI</c:v>
                </c:pt>
              </c:strCache>
            </c:strRef>
          </c:cat>
          <c:val>
            <c:numRef>
              <c:f>[NetworkingPS仿真数据_2022_TDD_DL_0.02M_0.01s_1000_64tx_32tx_16tx_8tx_4tx_20230213_RAN1_112.xlsx]plot!$D$49:$E$49</c:f>
              <c:numCache>
                <c:formatCode>0.00%</c:formatCode>
                <c:ptCount val="2"/>
                <c:pt idx="0">
                  <c:v>0.0936</c:v>
                </c:pt>
                <c:pt idx="1">
                  <c:v>0.2672</c:v>
                </c:pt>
              </c:numCache>
            </c:numRef>
          </c:val>
        </c:ser>
        <c:dLbls>
          <c:showLegendKey val="0"/>
          <c:showVal val="1"/>
          <c:showCatName val="0"/>
          <c:showSerName val="0"/>
          <c:showPercent val="0"/>
          <c:showBubbleSize val="0"/>
        </c:dLbls>
        <c:gapWidth val="219"/>
        <c:overlap val="-27"/>
        <c:axId val="420060176"/>
        <c:axId val="420059616"/>
      </c:barChart>
      <c:catAx>
        <c:axId val="420060176"/>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solidFill>
                <a:latin typeface="+mn-lt"/>
                <a:ea typeface="+mn-ea"/>
                <a:cs typeface="+mn-cs"/>
              </a:defRPr>
            </a:pPr>
          </a:p>
        </c:txPr>
        <c:crossAx val="420059616"/>
        <c:crosses val="autoZero"/>
        <c:auto val="1"/>
        <c:lblAlgn val="ctr"/>
        <c:lblOffset val="100"/>
        <c:noMultiLvlLbl val="0"/>
      </c:catAx>
      <c:valAx>
        <c:axId val="420059616"/>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solidFill>
                <a:latin typeface="+mn-lt"/>
                <a:ea typeface="+mn-ea"/>
                <a:cs typeface="+mn-cs"/>
              </a:defRPr>
            </a:pPr>
          </a:p>
        </c:txPr>
        <c:crossAx val="420060176"/>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solidFill>
            <a:schemeClr val="tx1"/>
          </a:solidFill>
        </a:defRPr>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000" b="0" i="0" u="none" strike="noStrike" kern="1200" spc="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sz="1000">
                <a:latin typeface="Times New Roman" panose="02020603050405020304" charset="0"/>
                <a:ea typeface="Times New Roman" panose="02020603050405020304" charset="0"/>
                <a:cs typeface="Times New Roman" panose="02020603050405020304" charset="0"/>
                <a:sym typeface="Times New Roman" panose="02020603050405020304" charset="0"/>
              </a:rPr>
              <a:t>RI change distribution</a:t>
            </a:r>
            <a:endParaRPr lang="en-US" altLang="zh-CN" sz="1000">
              <a:latin typeface="Times New Roman" panose="02020603050405020304" charset="0"/>
              <a:ea typeface="Times New Roman" panose="02020603050405020304" charset="0"/>
              <a:cs typeface="Times New Roman" panose="02020603050405020304" charset="0"/>
              <a:sym typeface="Times New Roman" panose="02020603050405020304" charset="0"/>
            </a:endParaRPr>
          </a:p>
        </c:rich>
      </c:tx>
      <c:layout/>
      <c:overlay val="0"/>
      <c:spPr>
        <a:noFill/>
        <a:ln>
          <a:noFill/>
        </a:ln>
        <a:effectLst/>
      </c:spPr>
    </c:title>
    <c:autoTitleDeleted val="0"/>
    <c:plotArea>
      <c:layout/>
      <c:barChart>
        <c:barDir val="col"/>
        <c:grouping val="clustered"/>
        <c:varyColors val="0"/>
        <c:ser>
          <c:idx val="0"/>
          <c:order val="0"/>
          <c:spPr>
            <a:solidFill>
              <a:schemeClr val="accent1"/>
            </a:solidFill>
            <a:ln>
              <a:noFill/>
            </a:ln>
            <a:effectLst/>
          </c:spPr>
          <c:invertIfNegative val="0"/>
          <c:dLbls>
            <c:delete val="1"/>
          </c:dLbls>
          <c:cat>
            <c:strRef>
              <c:f>[工作簿1]Sheet1!$H$16:$N$16</c:f>
              <c:strCache>
                <c:ptCount val="7"/>
                <c:pt idx="0">
                  <c:v>no change</c:v>
                </c:pt>
                <c:pt idx="1">
                  <c:v>4-&gt;3</c:v>
                </c:pt>
                <c:pt idx="2">
                  <c:v>4-&gt;2</c:v>
                </c:pt>
                <c:pt idx="3">
                  <c:v>3-&gt;2</c:v>
                </c:pt>
                <c:pt idx="4">
                  <c:v>4-&gt;1</c:v>
                </c:pt>
                <c:pt idx="5">
                  <c:v>3-&gt;1</c:v>
                </c:pt>
                <c:pt idx="6">
                  <c:v>2-&gt;1</c:v>
                </c:pt>
              </c:strCache>
            </c:strRef>
          </c:cat>
          <c:val>
            <c:numRef>
              <c:f>[工作簿1]Sheet1!$H$17:$N$17</c:f>
              <c:numCache>
                <c:formatCode>0.00%</c:formatCode>
                <c:ptCount val="7"/>
                <c:pt idx="0">
                  <c:v>0.7913</c:v>
                </c:pt>
                <c:pt idx="1">
                  <c:v>0.09535</c:v>
                </c:pt>
                <c:pt idx="2">
                  <c:v>0.01395</c:v>
                </c:pt>
                <c:pt idx="3">
                  <c:v>0.09435</c:v>
                </c:pt>
                <c:pt idx="4">
                  <c:v>0</c:v>
                </c:pt>
                <c:pt idx="5">
                  <c:v>0</c:v>
                </c:pt>
                <c:pt idx="6">
                  <c:v>0.005005</c:v>
                </c:pt>
              </c:numCache>
            </c:numRef>
          </c:val>
        </c:ser>
        <c:dLbls>
          <c:showLegendKey val="0"/>
          <c:showVal val="0"/>
          <c:showCatName val="0"/>
          <c:showSerName val="0"/>
          <c:showPercent val="0"/>
          <c:showBubbleSize val="0"/>
        </c:dLbls>
        <c:gapWidth val="219"/>
        <c:overlap val="-27"/>
        <c:axId val="489783728"/>
        <c:axId val="489784288"/>
      </c:barChart>
      <c:catAx>
        <c:axId val="489783728"/>
        <c:scaling>
          <c:orientation val="minMax"/>
        </c:scaling>
        <c:delete val="0"/>
        <c:axPos val="b"/>
        <c:title>
          <c:tx>
            <c:rich>
              <a:bodyPr rot="0" spcFirstLastPara="0" vertOverflow="ellipsis" vert="horz" wrap="square" anchor="ctr" anchorCtr="1"/>
              <a:lstStyle/>
              <a:p>
                <a:pPr defTabSz="914400">
                  <a:defRPr lang="zh-CN" sz="7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sz="700" dirty="0">
                    <a:latin typeface="Times New Roman" panose="02020603050405020304" charset="0"/>
                    <a:ea typeface="Times New Roman" panose="02020603050405020304" charset="0"/>
                    <a:cs typeface="Times New Roman" panose="02020603050405020304" charset="0"/>
                    <a:sym typeface="Times New Roman" panose="02020603050405020304" charset="0"/>
                  </a:rPr>
                  <a:t>RI of 32 ports ---&gt; RI of (24,16) ports</a:t>
                </a:r>
                <a:endParaRPr lang="en-US" altLang="zh-CN" sz="700" dirty="0">
                  <a:latin typeface="Times New Roman" panose="02020603050405020304" charset="0"/>
                  <a:ea typeface="Times New Roman" panose="02020603050405020304" charset="0"/>
                  <a:cs typeface="Times New Roman" panose="02020603050405020304" charset="0"/>
                  <a:sym typeface="Times New Roman" panose="02020603050405020304" charset="0"/>
                </a:endParaRPr>
              </a:p>
            </c:rich>
          </c:tx>
          <c:layout/>
          <c:overlay val="0"/>
          <c:spPr>
            <a:noFill/>
            <a:ln>
              <a:noFill/>
            </a:ln>
            <a:effectLst/>
          </c:spPr>
        </c:title>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crossAx val="489784288"/>
        <c:crosses val="autoZero"/>
        <c:auto val="1"/>
        <c:lblAlgn val="ctr"/>
        <c:lblOffset val="100"/>
        <c:noMultiLvlLbl val="0"/>
      </c:catAx>
      <c:valAx>
        <c:axId val="489784288"/>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crossAx val="48978372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B16754-AC0B-4E14-9AAD-EFB6A9327696}">
  <ds:schemaRefs/>
</ds:datastoreItem>
</file>

<file path=docProps/app.xml><?xml version="1.0" encoding="utf-8"?>
<Properties xmlns="http://schemas.openxmlformats.org/officeDocument/2006/extended-properties" xmlns:vt="http://schemas.openxmlformats.org/officeDocument/2006/docPropsVTypes">
  <Template>Normal.dotm</Template>
  <Pages>21</Pages>
  <Words>6185</Words>
  <Characters>35257</Characters>
  <Lines>293</Lines>
  <Paragraphs>82</Paragraphs>
  <TotalTime>0</TotalTime>
  <ScaleCrop>false</ScaleCrop>
  <LinksUpToDate>false</LinksUpToDate>
  <CharactersWithSpaces>41360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2023-04-07T12:08:00Z</dcterms:created>
  <dc:creator>ZTE</dc:creator>
  <cp:lastModifiedBy>ZTE, Mengzhu</cp:lastModifiedBy>
  <dcterms:modified xsi:type="dcterms:W3CDTF">2023-04-07T15:17:33Z</dcterms:modified>
  <dc:title>Discussion Summary #2 for energy saving techniques of NW energy saving SI.</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